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9" w:rsidRPr="00DE2049" w:rsidRDefault="00DE2049" w:rsidP="00DE2049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DE2049" w:rsidRPr="00DE2049" w:rsidRDefault="00DE2049" w:rsidP="00DE2049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DE2049" w:rsidRPr="00DE2049" w:rsidRDefault="00DE2049" w:rsidP="00DE2049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2049" w:rsidRPr="00DE2049" w:rsidRDefault="00DE2049" w:rsidP="00DE2049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49" w:rsidRPr="00DE2049" w:rsidRDefault="00DE2049" w:rsidP="00DE2049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49" w:rsidRPr="00DE2049" w:rsidRDefault="00DE2049" w:rsidP="00DE2049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0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E204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E2049" w:rsidRPr="00DE2049" w:rsidRDefault="00DE2049" w:rsidP="00DE2049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49" w:rsidRPr="00DE2049" w:rsidRDefault="00DE2049" w:rsidP="00DE2049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49" w:rsidRPr="00DE2049" w:rsidRDefault="00DE2049" w:rsidP="00DE2049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b/>
          <w:sz w:val="24"/>
          <w:szCs w:val="24"/>
        </w:rPr>
        <w:t xml:space="preserve">  23 декабря 2014 г.                                                           </w:t>
      </w:r>
      <w:r w:rsidRPr="00DE204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№ 256 </w:t>
      </w:r>
    </w:p>
    <w:tbl>
      <w:tblPr>
        <w:tblW w:w="0" w:type="auto"/>
        <w:tblLook w:val="04A0"/>
      </w:tblPr>
      <w:tblGrid>
        <w:gridCol w:w="5353"/>
      </w:tblGrid>
      <w:tr w:rsidR="00DE2049" w:rsidRPr="00DE2049" w:rsidTr="00DE2049">
        <w:tc>
          <w:tcPr>
            <w:tcW w:w="5353" w:type="dxa"/>
          </w:tcPr>
          <w:p w:rsidR="00DE2049" w:rsidRPr="00DE2049" w:rsidRDefault="00DE2049" w:rsidP="00DE2049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E2049" w:rsidRPr="00DE2049" w:rsidRDefault="00DE2049" w:rsidP="00DE20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049" w:rsidRPr="00DE2049" w:rsidRDefault="00DE2049" w:rsidP="00DE20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DE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Войсковицкого</w:t>
            </w:r>
            <w:proofErr w:type="spellEnd"/>
            <w:r w:rsidRPr="00DE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E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DE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Гатчинского муниципального района </w:t>
            </w:r>
            <w:r w:rsidRPr="00DE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 области </w:t>
            </w:r>
            <w:r w:rsidRPr="00DE2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предоставлению муниципальной услуги</w:t>
            </w:r>
            <w:r w:rsidRPr="00DE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«Утверждение схемы расположения земельного участка на кадастровом плане или кадастровой карте соответствующей территории»</w:t>
            </w:r>
          </w:p>
        </w:tc>
      </w:tr>
    </w:tbl>
    <w:p w:rsidR="00DE2049" w:rsidRPr="00DE2049" w:rsidRDefault="00DE2049" w:rsidP="00DE2049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049" w:rsidRPr="00DE2049" w:rsidRDefault="00DE2049" w:rsidP="00DE204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04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DE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49">
        <w:rPr>
          <w:rFonts w:ascii="Times New Roman" w:hAnsi="Times New Roman" w:cs="Times New Roman"/>
          <w:sz w:val="24"/>
          <w:szCs w:val="24"/>
        </w:rPr>
        <w:t>от 27.07.2010г</w:t>
      </w:r>
      <w:r w:rsidRPr="00DE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49">
        <w:rPr>
          <w:rFonts w:ascii="Times New Roman" w:hAnsi="Times New Roman" w:cs="Times New Roman"/>
          <w:sz w:val="24"/>
          <w:szCs w:val="24"/>
        </w:rPr>
        <w:t>№210-ФЗ</w:t>
      </w:r>
      <w:r w:rsidRPr="00DE2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49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муниципальных услуг», Уставом МО </w:t>
      </w:r>
      <w:proofErr w:type="spellStart"/>
      <w:r w:rsidRPr="00DE2049">
        <w:rPr>
          <w:rFonts w:ascii="Times New Roman" w:hAnsi="Times New Roman" w:cs="Times New Roman"/>
          <w:sz w:val="24"/>
          <w:szCs w:val="24"/>
        </w:rPr>
        <w:t>Войсковицкое</w:t>
      </w:r>
      <w:proofErr w:type="spellEnd"/>
      <w:r w:rsidRPr="00DE2049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</w:t>
      </w:r>
      <w:r w:rsidRPr="00DE2049">
        <w:rPr>
          <w:rFonts w:ascii="Times New Roman" w:hAnsi="Times New Roman" w:cs="Times New Roman"/>
          <w:bCs/>
          <w:sz w:val="24"/>
          <w:szCs w:val="24"/>
        </w:rPr>
        <w:t xml:space="preserve"> Порядком разработки и утверждения административных регламентов предоставления  муниципальных услуг в МО </w:t>
      </w:r>
      <w:proofErr w:type="spellStart"/>
      <w:r w:rsidRPr="00DE2049">
        <w:rPr>
          <w:rFonts w:ascii="Times New Roman" w:hAnsi="Times New Roman" w:cs="Times New Roman"/>
          <w:bCs/>
          <w:sz w:val="24"/>
          <w:szCs w:val="24"/>
        </w:rPr>
        <w:t>Войсковицкое</w:t>
      </w:r>
      <w:proofErr w:type="spellEnd"/>
      <w:r w:rsidRPr="00DE204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Гатчинского муниципального района Ленинградской области, утвержденным Постановлением</w:t>
      </w:r>
      <w:proofErr w:type="gramEnd"/>
      <w:r w:rsidRPr="00DE2049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DE2049">
        <w:rPr>
          <w:rFonts w:ascii="Times New Roman" w:hAnsi="Times New Roman" w:cs="Times New Roman"/>
          <w:bCs/>
          <w:sz w:val="24"/>
          <w:szCs w:val="24"/>
        </w:rPr>
        <w:t>Войсковицкого</w:t>
      </w:r>
      <w:proofErr w:type="spellEnd"/>
      <w:r w:rsidRPr="00DE204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22.06.2011г №80,</w:t>
      </w:r>
      <w:r w:rsidRPr="00DE2049">
        <w:rPr>
          <w:rFonts w:ascii="Times New Roman" w:hAnsi="Times New Roman" w:cs="Times New Roman"/>
          <w:sz w:val="24"/>
          <w:szCs w:val="24"/>
        </w:rPr>
        <w:t xml:space="preserve"> </w:t>
      </w:r>
      <w:r w:rsidRPr="00DE2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049" w:rsidRPr="00DE2049" w:rsidRDefault="00DE2049" w:rsidP="00DE20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E2049">
        <w:rPr>
          <w:rFonts w:ascii="Times New Roman" w:hAnsi="Times New Roman" w:cs="Times New Roman"/>
          <w:sz w:val="24"/>
          <w:szCs w:val="24"/>
        </w:rPr>
        <w:t>:</w:t>
      </w:r>
    </w:p>
    <w:p w:rsidR="00DE2049" w:rsidRPr="00DE2049" w:rsidRDefault="00DE2049" w:rsidP="00DE2049">
      <w:pPr>
        <w:autoSpaceDE w:val="0"/>
        <w:spacing w:after="0"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DE2049" w:rsidRPr="00DE2049" w:rsidRDefault="00DE2049" w:rsidP="00DE2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 xml:space="preserve">           1. Утвердить прилагаемый Административный регламент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</w:p>
    <w:p w:rsidR="00DE2049" w:rsidRPr="00DE2049" w:rsidRDefault="00DE2049" w:rsidP="00DE2049">
      <w:pPr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 xml:space="preserve">     Настоящее постановление  подлежит официальному опубликованию в газете «Гатчинская правда» и размещению на официальном сайте муниципального образования </w:t>
      </w:r>
      <w:proofErr w:type="spellStart"/>
      <w:r w:rsidRPr="00DE2049">
        <w:rPr>
          <w:rFonts w:ascii="Times New Roman" w:hAnsi="Times New Roman" w:cs="Times New Roman"/>
          <w:sz w:val="24"/>
          <w:szCs w:val="24"/>
        </w:rPr>
        <w:t>Войсковицкое</w:t>
      </w:r>
      <w:proofErr w:type="spellEnd"/>
      <w:r w:rsidRPr="00DE2049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E2049" w:rsidRPr="00DE2049" w:rsidRDefault="00DE2049" w:rsidP="00DE2049">
      <w:pPr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 xml:space="preserve">     Настоящее постановление вступает в силу со дня его официального опубликования.</w:t>
      </w:r>
    </w:p>
    <w:p w:rsidR="00DE2049" w:rsidRPr="00DE2049" w:rsidRDefault="00DE2049" w:rsidP="00DE2049">
      <w:pPr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E20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E2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0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2049" w:rsidRPr="00DE2049" w:rsidRDefault="00DE2049" w:rsidP="00DE2049">
      <w:pPr>
        <w:pStyle w:val="21"/>
        <w:spacing w:after="0" w:line="240" w:lineRule="auto"/>
        <w:ind w:left="0"/>
      </w:pPr>
    </w:p>
    <w:p w:rsidR="00DE2049" w:rsidRPr="00DE2049" w:rsidRDefault="00DE2049" w:rsidP="00DE2049">
      <w:pPr>
        <w:pStyle w:val="21"/>
        <w:spacing w:after="0" w:line="240" w:lineRule="auto"/>
        <w:ind w:left="0"/>
      </w:pPr>
    </w:p>
    <w:p w:rsidR="00DE2049" w:rsidRPr="00DE2049" w:rsidRDefault="00DE2049" w:rsidP="00DE2049">
      <w:pPr>
        <w:pStyle w:val="21"/>
        <w:spacing w:after="0" w:line="240" w:lineRule="auto"/>
        <w:ind w:left="0"/>
      </w:pPr>
      <w:r w:rsidRPr="00DE2049">
        <w:t xml:space="preserve">Глава администрации </w:t>
      </w:r>
      <w:r w:rsidRPr="00DE2049">
        <w:tab/>
      </w:r>
      <w:r w:rsidRPr="00DE2049">
        <w:tab/>
        <w:t xml:space="preserve">                                                                Е.В. Воронин                                                                                   </w:t>
      </w:r>
    </w:p>
    <w:p w:rsidR="00DE2049" w:rsidRPr="00DE2049" w:rsidRDefault="00DE2049" w:rsidP="00DE2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049" w:rsidRDefault="00DE2049" w:rsidP="00DE2049">
      <w:pPr>
        <w:rPr>
          <w:szCs w:val="20"/>
        </w:rPr>
      </w:pPr>
      <w:r>
        <w:t xml:space="preserve"> </w:t>
      </w:r>
    </w:p>
    <w:p w:rsidR="00DE2049" w:rsidRDefault="00DE2049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2049" w:rsidRDefault="00DE2049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2049" w:rsidRDefault="00DE2049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2049" w:rsidRDefault="00DE2049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2049" w:rsidRDefault="00DE2049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764C" w:rsidRDefault="0012772F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F9764C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17484D" w:rsidRPr="00F9764C" w:rsidRDefault="0017484D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84" w:rsidRPr="00F9764C">
        <w:rPr>
          <w:rFonts w:ascii="Times New Roman" w:hAnsi="Times New Roman" w:cs="Times New Roman"/>
          <w:sz w:val="24"/>
          <w:szCs w:val="24"/>
        </w:rPr>
        <w:t xml:space="preserve">по </w:t>
      </w:r>
      <w:r w:rsidR="006951F7" w:rsidRPr="00F9764C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536F84" w:rsidRPr="00F9764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9764C">
        <w:rPr>
          <w:rFonts w:ascii="Times New Roman" w:hAnsi="Times New Roman" w:cs="Times New Roman"/>
          <w:sz w:val="24"/>
          <w:szCs w:val="24"/>
        </w:rPr>
        <w:t xml:space="preserve"> «</w:t>
      </w:r>
      <w:r w:rsidR="005C56A8">
        <w:rPr>
          <w:rFonts w:ascii="Times New Roman" w:hAnsi="Times New Roman" w:cs="Times New Roman"/>
          <w:sz w:val="24"/>
          <w:szCs w:val="24"/>
        </w:rPr>
        <w:t>У</w:t>
      </w:r>
      <w:r w:rsidR="002750D8" w:rsidRPr="00F9764C">
        <w:rPr>
          <w:rFonts w:ascii="Times New Roman" w:hAnsi="Times New Roman" w:cs="Times New Roman"/>
          <w:sz w:val="24"/>
          <w:szCs w:val="24"/>
        </w:rPr>
        <w:t>тверждени</w:t>
      </w:r>
      <w:r w:rsidR="005C56A8">
        <w:rPr>
          <w:rFonts w:ascii="Times New Roman" w:hAnsi="Times New Roman" w:cs="Times New Roman"/>
          <w:sz w:val="24"/>
          <w:szCs w:val="24"/>
        </w:rPr>
        <w:t>е</w:t>
      </w:r>
      <w:r w:rsidR="002750D8" w:rsidRPr="00F9764C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 w:rsidR="00F9764C">
        <w:rPr>
          <w:rFonts w:ascii="Times New Roman" w:hAnsi="Times New Roman" w:cs="Times New Roman"/>
          <w:sz w:val="24"/>
          <w:szCs w:val="24"/>
        </w:rPr>
        <w:t>»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9764C" w:rsidRDefault="00427CE1" w:rsidP="00F976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9764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56"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Войсковицко</w:t>
      </w:r>
      <w:r w:rsidR="00D17889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D17889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D17889">
        <w:rPr>
          <w:rFonts w:ascii="Times New Roman" w:eastAsia="Calibri" w:hAnsi="Times New Roman" w:cs="Times New Roman"/>
          <w:sz w:val="24"/>
          <w:szCs w:val="24"/>
        </w:rPr>
        <w:t>я</w:t>
      </w:r>
      <w:r w:rsidR="00703456"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F9764C" w:rsidRDefault="00F9764C" w:rsidP="00F976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 Ответственны</w:t>
      </w:r>
      <w:r w:rsidR="00D17889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 является специалист администрации по земельным вопросам</w:t>
      </w:r>
      <w:r w:rsidR="00D17889">
        <w:rPr>
          <w:rFonts w:ascii="Times New Roman" w:eastAsia="Calibri" w:hAnsi="Times New Roman" w:cs="Times New Roman"/>
          <w:sz w:val="24"/>
          <w:szCs w:val="24"/>
        </w:rPr>
        <w:t xml:space="preserve"> (далее – специалист)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F9764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27CE1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427CE1">
        <w:rPr>
          <w:rFonts w:ascii="Times New Roman" w:eastAsia="Calibri" w:hAnsi="Times New Roman" w:cs="Times New Roman"/>
          <w:sz w:val="24"/>
          <w:szCs w:val="24"/>
        </w:rPr>
        <w:t>Войсковицко</w:t>
      </w:r>
      <w:r w:rsidR="00D17889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427CE1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D17889">
        <w:rPr>
          <w:rFonts w:ascii="Times New Roman" w:eastAsia="Calibri" w:hAnsi="Times New Roman" w:cs="Times New Roman"/>
          <w:sz w:val="24"/>
          <w:szCs w:val="24"/>
        </w:rPr>
        <w:t>го</w:t>
      </w:r>
      <w:r w:rsidR="00427CE1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D17889">
        <w:rPr>
          <w:rFonts w:ascii="Times New Roman" w:eastAsia="Calibri" w:hAnsi="Times New Roman" w:cs="Times New Roman"/>
          <w:sz w:val="24"/>
          <w:szCs w:val="24"/>
        </w:rPr>
        <w:t>я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003">
        <w:rPr>
          <w:rFonts w:ascii="Times New Roman" w:eastAsia="Calibri" w:hAnsi="Times New Roman" w:cs="Times New Roman"/>
          <w:sz w:val="24"/>
          <w:szCs w:val="24"/>
        </w:rPr>
        <w:t>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7CE1" w:rsidRDefault="00427CE1" w:rsidP="00427CE1">
      <w:pPr>
        <w:pStyle w:val="ac"/>
        <w:jc w:val="both"/>
        <w:rPr>
          <w:sz w:val="24"/>
        </w:rPr>
      </w:pPr>
      <w:r>
        <w:rPr>
          <w:sz w:val="24"/>
        </w:rPr>
        <w:t xml:space="preserve">         - органами государственной власти Ленинградской области;</w:t>
      </w:r>
    </w:p>
    <w:p w:rsidR="00427CE1" w:rsidRDefault="00427CE1" w:rsidP="00427CE1">
      <w:pPr>
        <w:pStyle w:val="ac"/>
        <w:jc w:val="both"/>
        <w:rPr>
          <w:sz w:val="24"/>
        </w:rPr>
      </w:pPr>
      <w:r>
        <w:rPr>
          <w:sz w:val="24"/>
        </w:rPr>
        <w:t xml:space="preserve">         - администрацией Гатчинского муниципального района;</w:t>
      </w:r>
    </w:p>
    <w:p w:rsidR="00427CE1" w:rsidRDefault="00427CE1" w:rsidP="00427CE1">
      <w:pPr>
        <w:pStyle w:val="ac"/>
        <w:jc w:val="both"/>
        <w:rPr>
          <w:sz w:val="24"/>
        </w:rPr>
      </w:pPr>
      <w:r>
        <w:rPr>
          <w:sz w:val="24"/>
        </w:rPr>
        <w:t xml:space="preserve">         - территориальными органами федеральных органов исполнительной власти в случаях и в порядке, установленных федеральным законодательством.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D178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справочные телефоны и адрес электронной почты </w:t>
      </w:r>
      <w:r w:rsidR="00F97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178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Войсковицкого</w:t>
      </w:r>
      <w:proofErr w:type="spellEnd"/>
      <w:r w:rsidR="00F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427CE1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427CE1" w:rsidRPr="00427CE1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Понедельник-пятница с 9-00 до 17-00, приемный день – вторник с 9-00 до 18-00, перерыв на обед с 13-00 </w:t>
      </w:r>
      <w:proofErr w:type="gramStart"/>
      <w:r w:rsidR="00427CE1" w:rsidRPr="00427CE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27CE1" w:rsidRPr="00427CE1">
        <w:rPr>
          <w:rFonts w:ascii="Times New Roman" w:hAnsi="Times New Roman" w:cs="Times New Roman"/>
          <w:color w:val="000000"/>
          <w:sz w:val="24"/>
          <w:szCs w:val="24"/>
        </w:rPr>
        <w:t xml:space="preserve"> 14-00, суббота, воскресенье – выходной день</w:t>
      </w:r>
      <w:r w:rsidRPr="00427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D1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F97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Войсковицко</w:t>
      </w:r>
      <w:r w:rsidR="000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0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F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BAC" w:rsidRPr="005B1B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5B1BAC" w:rsidRPr="005B1BAC">
        <w:rPr>
          <w:rFonts w:ascii="Times New Roman" w:hAnsi="Times New Roman" w:cs="Times New Roman"/>
          <w:sz w:val="24"/>
          <w:szCs w:val="24"/>
          <w:u w:val="single"/>
        </w:rPr>
        <w:t>//</w:t>
      </w:r>
      <w:proofErr w:type="spellStart"/>
      <w:r w:rsidR="005B1BAC" w:rsidRPr="005B1BAC">
        <w:rPr>
          <w:rFonts w:ascii="Times New Roman" w:hAnsi="Times New Roman" w:cs="Times New Roman"/>
          <w:sz w:val="24"/>
          <w:szCs w:val="24"/>
          <w:u w:val="single"/>
        </w:rPr>
        <w:t>войсковицкое</w:t>
      </w:r>
      <w:proofErr w:type="gramStart"/>
      <w:r w:rsidR="005B1BAC" w:rsidRPr="005B1BAC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5B1BAC" w:rsidRPr="005B1BAC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="005B1BAC" w:rsidRPr="005B1BAC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703456" w:rsidRPr="0004253D" w:rsidRDefault="00171EDC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03456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1.10.2. Информирование о порядке предоставления муниципальной услуги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5B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8(81371)63398,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5B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Войсковицкое</w:t>
      </w:r>
      <w:proofErr w:type="spellEnd"/>
      <w:r w:rsidR="005B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5B1BAC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A9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Войсковицкого</w:t>
      </w:r>
      <w:proofErr w:type="spellEnd"/>
      <w:r w:rsidR="001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171EDC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171EDC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администрации 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  <w:proofErr w:type="gramEnd"/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2" w:name="Par92"/>
      <w:bookmarkEnd w:id="2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D56C3">
        <w:rPr>
          <w:rFonts w:ascii="Times New Roman" w:hAnsi="Times New Roman" w:cs="Times New Roman"/>
          <w:sz w:val="24"/>
          <w:szCs w:val="24"/>
        </w:rPr>
        <w:t>администрацию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3" w:name="Par96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5B1BAC" w:rsidRDefault="00932F1E" w:rsidP="005B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</w:t>
      </w:r>
      <w:r w:rsidR="001D56C3">
        <w:rPr>
          <w:rFonts w:ascii="Times New Roman" w:hAnsi="Times New Roman" w:cs="Times New Roman"/>
          <w:sz w:val="24"/>
          <w:szCs w:val="24"/>
        </w:rPr>
        <w:t>м</w:t>
      </w:r>
      <w:r w:rsidRPr="0038405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D56C3">
        <w:rPr>
          <w:rFonts w:ascii="Times New Roman" w:hAnsi="Times New Roman" w:cs="Times New Roman"/>
          <w:sz w:val="24"/>
          <w:szCs w:val="24"/>
        </w:rPr>
        <w:t>ом</w:t>
      </w:r>
      <w:r w:rsidRPr="00384050">
        <w:rPr>
          <w:rFonts w:ascii="Times New Roman" w:hAnsi="Times New Roman" w:cs="Times New Roman"/>
          <w:sz w:val="24"/>
          <w:szCs w:val="24"/>
        </w:rPr>
        <w:t xml:space="preserve">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5B1BAC" w:rsidP="005B1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1BAC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</w:t>
      </w:r>
      <w:proofErr w:type="spellStart"/>
      <w:r w:rsidRPr="005B1BAC">
        <w:rPr>
          <w:rFonts w:ascii="Times New Roman" w:hAnsi="Times New Roman" w:cs="Times New Roman"/>
          <w:color w:val="000000"/>
          <w:sz w:val="24"/>
          <w:szCs w:val="24"/>
        </w:rPr>
        <w:t>Войсковицкое</w:t>
      </w:r>
      <w:proofErr w:type="spellEnd"/>
      <w:r w:rsidRPr="005B1B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71EDC" w:rsidRDefault="005B1BAC" w:rsidP="00171E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1573" w:rsidRPr="00171EDC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ar112"/>
      <w:bookmarkEnd w:id="4"/>
      <w:r w:rsidR="00171EDC" w:rsidRPr="00171EDC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proofErr w:type="spellStart"/>
      <w:r w:rsidR="00171EDC" w:rsidRP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 w:rsidRPr="00171EDC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от 21.06.2011 № 80 </w:t>
      </w:r>
      <w:r w:rsidR="00171EDC" w:rsidRPr="00171EDC">
        <w:rPr>
          <w:rFonts w:ascii="Times New Roman" w:hAnsi="Times New Roman" w:cs="Times New Roman"/>
          <w:color w:val="000000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услуг».</w:t>
      </w:r>
    </w:p>
    <w:p w:rsidR="002750D8" w:rsidRPr="0004253D" w:rsidRDefault="00147E31" w:rsidP="0017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D56C3">
        <w:rPr>
          <w:rFonts w:ascii="Times New Roman" w:hAnsi="Times New Roman" w:cs="Times New Roman"/>
          <w:sz w:val="24"/>
          <w:szCs w:val="24"/>
        </w:rPr>
        <w:t>администрацию,</w:t>
      </w:r>
      <w:r w:rsidRPr="0004253D">
        <w:rPr>
          <w:rFonts w:ascii="Times New Roman" w:hAnsi="Times New Roman" w:cs="Times New Roman"/>
          <w:sz w:val="24"/>
          <w:szCs w:val="24"/>
        </w:rPr>
        <w:t xml:space="preserve">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3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. Копия документа, удостоверяющего личность заявителя (заявителей),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171EDC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="000762C7" w:rsidRPr="0004253D">
        <w:rPr>
          <w:rFonts w:ascii="Times New Roman" w:hAnsi="Times New Roman" w:cs="Times New Roman"/>
          <w:sz w:val="24"/>
          <w:szCs w:val="24"/>
        </w:rPr>
        <w:t>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КУМИ </w:t>
      </w:r>
      <w:r w:rsidR="00171EDC" w:rsidRPr="00171EDC">
        <w:rPr>
          <w:rFonts w:ascii="Times New Roman" w:hAnsi="Times New Roman" w:cs="Times New Roman"/>
          <w:color w:val="000000" w:themeColor="text1"/>
          <w:sz w:val="24"/>
          <w:szCs w:val="24"/>
        </w:rPr>
        <w:t>Гатчинского</w:t>
      </w:r>
      <w:r w:rsidR="0017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2C7" w:rsidRPr="0004253D">
        <w:rPr>
          <w:rFonts w:ascii="Times New Roman" w:hAnsi="Times New Roman" w:cs="Times New Roman"/>
          <w:sz w:val="24"/>
          <w:szCs w:val="24"/>
        </w:rPr>
        <w:t>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453D83" w:rsidRPr="00453D83" w:rsidRDefault="00453D8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AC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713C">
        <w:rPr>
          <w:rFonts w:ascii="Times New Roman" w:hAnsi="Times New Roman" w:cs="Times New Roman"/>
          <w:sz w:val="24"/>
          <w:szCs w:val="24"/>
        </w:rPr>
        <w:t xml:space="preserve"> </w:t>
      </w:r>
      <w:r w:rsidRPr="005B1BAC">
        <w:rPr>
          <w:rFonts w:ascii="Times New Roman" w:hAnsi="Times New Roman" w:cs="Times New Roman"/>
          <w:sz w:val="24"/>
          <w:szCs w:val="24"/>
        </w:rPr>
        <w:t xml:space="preserve">– в случае утверждения схемы расположения земельного участка администрацией </w:t>
      </w:r>
      <w:r w:rsidR="00171EDC">
        <w:rPr>
          <w:rFonts w:ascii="Times New Roman" w:hAnsi="Times New Roman" w:cs="Times New Roman"/>
          <w:sz w:val="24"/>
          <w:szCs w:val="24"/>
        </w:rPr>
        <w:t>Гатчинского</w:t>
      </w:r>
      <w:r w:rsidRPr="005B1BA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>б</w:t>
      </w:r>
      <w:r w:rsidR="002750D8" w:rsidRPr="00B0713C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подразделением по строительству и архитектуры администрации </w:t>
      </w:r>
      <w:r w:rsidR="00171EDC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Pr="0004253D">
        <w:rPr>
          <w:rFonts w:ascii="Times New Roman" w:hAnsi="Times New Roman" w:cs="Times New Roman"/>
          <w:sz w:val="24"/>
          <w:szCs w:val="24"/>
        </w:rPr>
        <w:t>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043409" w:rsidRPr="00453D83" w:rsidRDefault="00043409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1EDC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Pr="00B0713C">
        <w:rPr>
          <w:rFonts w:ascii="Times New Roman" w:hAnsi="Times New Roman" w:cs="Times New Roman"/>
          <w:sz w:val="24"/>
          <w:szCs w:val="24"/>
        </w:rPr>
        <w:t xml:space="preserve">– в случае утверждения схемы расположения земельного участка администрацией </w:t>
      </w:r>
      <w:r w:rsidR="00171EDC">
        <w:rPr>
          <w:rFonts w:ascii="Times New Roman" w:hAnsi="Times New Roman" w:cs="Times New Roman"/>
          <w:sz w:val="24"/>
          <w:szCs w:val="24"/>
        </w:rPr>
        <w:t>Гатчинского</w:t>
      </w:r>
      <w:r w:rsidRPr="00B0713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КУМИ </w:t>
      </w:r>
      <w:r w:rsidR="00171EDC">
        <w:rPr>
          <w:rFonts w:ascii="Times New Roman" w:hAnsi="Times New Roman" w:cs="Times New Roman"/>
          <w:sz w:val="24"/>
          <w:szCs w:val="24"/>
        </w:rPr>
        <w:t>Гатчинского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>в</w:t>
      </w:r>
      <w:r w:rsidR="002750D8" w:rsidRPr="00B0713C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с подразделением по строительству и архитектуры администрации </w:t>
      </w:r>
      <w:r w:rsidR="00171EDC">
        <w:rPr>
          <w:rFonts w:ascii="Times New Roman" w:hAnsi="Times New Roman" w:cs="Times New Roman"/>
          <w:sz w:val="24"/>
          <w:szCs w:val="24"/>
        </w:rPr>
        <w:t>Гатчинского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</w:t>
      </w:r>
      <w:r w:rsidR="00171EDC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Pr="0004253D">
        <w:rPr>
          <w:rFonts w:ascii="Times New Roman" w:hAnsi="Times New Roman" w:cs="Times New Roman"/>
          <w:sz w:val="24"/>
          <w:szCs w:val="24"/>
        </w:rPr>
        <w:t xml:space="preserve">района;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96199D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1EDC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Pr="00B0713C">
        <w:rPr>
          <w:rFonts w:ascii="Times New Roman" w:hAnsi="Times New Roman" w:cs="Times New Roman"/>
          <w:sz w:val="24"/>
          <w:szCs w:val="24"/>
        </w:rPr>
        <w:t xml:space="preserve">– в случае утверждения схемы расположения земельного участка администрацией </w:t>
      </w:r>
      <w:r w:rsidR="00171EDC">
        <w:rPr>
          <w:rFonts w:ascii="Times New Roman" w:hAnsi="Times New Roman" w:cs="Times New Roman"/>
          <w:sz w:val="24"/>
          <w:szCs w:val="24"/>
        </w:rPr>
        <w:t>Гатчинского</w:t>
      </w:r>
      <w:r w:rsidRPr="00B071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50D8" w:rsidRPr="00B0713C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1D56C3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B0713C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B0713C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B0713C">
        <w:rPr>
          <w:rFonts w:ascii="Times New Roman" w:hAnsi="Times New Roman" w:cs="Times New Roman"/>
          <w:sz w:val="24"/>
          <w:szCs w:val="24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B0713C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BE4125">
        <w:rPr>
          <w:rFonts w:ascii="Times New Roman" w:hAnsi="Times New Roman" w:cs="Times New Roman"/>
          <w:sz w:val="24"/>
          <w:szCs w:val="24"/>
        </w:rPr>
        <w:t xml:space="preserve">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3C">
        <w:rPr>
          <w:rFonts w:ascii="Times New Roman" w:hAnsi="Times New Roman" w:cs="Times New Roman"/>
          <w:sz w:val="24"/>
          <w:szCs w:val="24"/>
        </w:rPr>
        <w:t>1</w:t>
      </w:r>
      <w:r w:rsidR="002750D8" w:rsidRPr="00B0713C">
        <w:rPr>
          <w:rFonts w:ascii="Times New Roman" w:hAnsi="Times New Roman" w:cs="Times New Roman"/>
          <w:sz w:val="24"/>
          <w:szCs w:val="24"/>
        </w:rPr>
        <w:t>) наличия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заявлении, предоставленных документах подчисток либо приписок, зачеркнутых слов и иных, не оговоренных в них исправлений, наличие документов, текст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</w:t>
      </w:r>
      <w:r w:rsidR="0099773E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</w:t>
      </w:r>
      <w:r w:rsidR="0099773E">
        <w:rPr>
          <w:rFonts w:ascii="Times New Roman" w:hAnsi="Times New Roman" w:cs="Times New Roman"/>
          <w:sz w:val="24"/>
          <w:szCs w:val="24"/>
        </w:rPr>
        <w:t>ей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99773E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</w:t>
      </w:r>
      <w:r w:rsidR="0099773E">
        <w:rPr>
          <w:rFonts w:ascii="Times New Roman" w:hAnsi="Times New Roman" w:cs="Times New Roman"/>
          <w:sz w:val="24"/>
          <w:szCs w:val="24"/>
        </w:rPr>
        <w:t>ии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, </w:t>
      </w:r>
      <w:r w:rsidR="002750D8" w:rsidRPr="0004253D">
        <w:rPr>
          <w:rFonts w:ascii="Times New Roman" w:hAnsi="Times New Roman" w:cs="Times New Roman"/>
          <w:sz w:val="24"/>
          <w:szCs w:val="24"/>
        </w:rPr>
        <w:t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</w:t>
      </w:r>
      <w:r w:rsidR="0099773E">
        <w:rPr>
          <w:rFonts w:ascii="Times New Roman" w:hAnsi="Times New Roman" w:cs="Times New Roman"/>
          <w:sz w:val="24"/>
          <w:szCs w:val="24"/>
        </w:rPr>
        <w:t xml:space="preserve"> по земельным вопросам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 w:rsidR="00171EDC">
          <w:rPr>
            <w:rFonts w:ascii="Times New Roman" w:hAnsi="Times New Roman" w:cs="Times New Roman"/>
            <w:sz w:val="24"/>
            <w:szCs w:val="24"/>
          </w:rPr>
          <w:t>положениями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4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начальником ответственного структурного подразделения, и направляет для рассмотрения и подписания главе администрации </w:t>
      </w:r>
      <w:proofErr w:type="spellStart"/>
      <w:r w:rsidR="00171EDC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171E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</w:t>
      </w:r>
      <w:r w:rsidR="006D2152">
        <w:rPr>
          <w:rFonts w:ascii="Times New Roman" w:hAnsi="Times New Roman" w:cs="Times New Roman"/>
          <w:sz w:val="24"/>
          <w:szCs w:val="24"/>
        </w:rPr>
        <w:t xml:space="preserve">астка </w:t>
      </w:r>
      <w:r w:rsidRPr="0004253D">
        <w:rPr>
          <w:rFonts w:ascii="Times New Roman" w:hAnsi="Times New Roman" w:cs="Times New Roman"/>
          <w:sz w:val="24"/>
          <w:szCs w:val="24"/>
        </w:rPr>
        <w:t xml:space="preserve">и передает на подпись главе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35BBF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735B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735BBF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главы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</w:t>
      </w:r>
      <w:r w:rsidR="00514F20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главой администрации 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заместителем главы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курирующего деятельность ответственного </w:t>
      </w:r>
      <w:r w:rsidR="00514F20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обращения, а также запросов) администрации </w:t>
      </w:r>
      <w:proofErr w:type="spellStart"/>
      <w:r w:rsidR="006D2152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="006D2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6D2152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по земельным вопросам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пл. Манина, д. 17</w:t>
      </w:r>
    </w:p>
    <w:p w:rsidR="00514F20" w:rsidRPr="009157A5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voyskov</w:t>
      </w:r>
      <w:proofErr w:type="spellEnd"/>
      <w:r w:rsidRPr="009157A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9157A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4F20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</w:t>
      </w:r>
      <w:r w:rsidRPr="00915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514F20" w:rsidRPr="00D60392" w:rsidTr="00B9300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 до 18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514F20" w:rsidRPr="00D60392" w:rsidTr="00B9300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14F20" w:rsidRPr="00D60392" w:rsidTr="00B930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514F20" w:rsidRPr="00D60392" w:rsidRDefault="00514F20" w:rsidP="00B9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14F20" w:rsidRPr="00D60392" w:rsidRDefault="00514F20" w:rsidP="005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DD6BEF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DD6BEF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DD6BEF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DD6BEF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DD6BEF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DD6BEF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22"/>
      <w:bookmarkEnd w:id="14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</w:t>
      </w:r>
      <w:r w:rsidR="00781A0D" w:rsidRPr="00384050">
        <w:t xml:space="preserve"> (</w:t>
      </w:r>
      <w:r w:rsidR="00781A0D">
        <w:t>орган местного самоуправления</w:t>
      </w:r>
      <w:r w:rsidR="00781A0D"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     </w:t>
      </w:r>
      <w:proofErr w:type="gramStart"/>
      <w:r w:rsidR="00781A0D" w:rsidRPr="00384050">
        <w:t>(ФИО заявителя, адрес,</w:t>
      </w:r>
      <w:proofErr w:type="gramEnd"/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5" w:name="Par348"/>
      <w:bookmarkEnd w:id="15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919"/>
      <w:bookmarkEnd w:id="16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│Принятие</w:t>
      </w:r>
      <w:proofErr w:type="spell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 на кадастровом плане или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кадастровой</w:t>
      </w:r>
      <w:proofErr w:type="gramEnd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7" w:name="_GoBack"/>
      <w:bookmarkEnd w:id="17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F1043"/>
    <w:rsid w:val="00021B66"/>
    <w:rsid w:val="00037361"/>
    <w:rsid w:val="0004253D"/>
    <w:rsid w:val="00042A45"/>
    <w:rsid w:val="00043409"/>
    <w:rsid w:val="000506D2"/>
    <w:rsid w:val="000762C7"/>
    <w:rsid w:val="00086A2A"/>
    <w:rsid w:val="0012772F"/>
    <w:rsid w:val="00147E31"/>
    <w:rsid w:val="00171EDC"/>
    <w:rsid w:val="0017484D"/>
    <w:rsid w:val="0019054D"/>
    <w:rsid w:val="001907E4"/>
    <w:rsid w:val="001B32F9"/>
    <w:rsid w:val="001B37FD"/>
    <w:rsid w:val="001C1DB9"/>
    <w:rsid w:val="001D56C3"/>
    <w:rsid w:val="001E3CDD"/>
    <w:rsid w:val="002009E8"/>
    <w:rsid w:val="00205D2D"/>
    <w:rsid w:val="002140CF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202CB"/>
    <w:rsid w:val="00323079"/>
    <w:rsid w:val="003245E6"/>
    <w:rsid w:val="0032715D"/>
    <w:rsid w:val="00341FF3"/>
    <w:rsid w:val="003468BC"/>
    <w:rsid w:val="00372ED3"/>
    <w:rsid w:val="003B5FEB"/>
    <w:rsid w:val="004166D7"/>
    <w:rsid w:val="004254F6"/>
    <w:rsid w:val="00427CE1"/>
    <w:rsid w:val="00434305"/>
    <w:rsid w:val="0043465C"/>
    <w:rsid w:val="00453D83"/>
    <w:rsid w:val="00454171"/>
    <w:rsid w:val="004D34FB"/>
    <w:rsid w:val="004D3F02"/>
    <w:rsid w:val="004E449B"/>
    <w:rsid w:val="005013A1"/>
    <w:rsid w:val="005132E9"/>
    <w:rsid w:val="00514F20"/>
    <w:rsid w:val="00516525"/>
    <w:rsid w:val="00516D10"/>
    <w:rsid w:val="00536F84"/>
    <w:rsid w:val="005408AF"/>
    <w:rsid w:val="005619AC"/>
    <w:rsid w:val="005743D2"/>
    <w:rsid w:val="005A315F"/>
    <w:rsid w:val="005B1BAC"/>
    <w:rsid w:val="005C56A8"/>
    <w:rsid w:val="005F774A"/>
    <w:rsid w:val="00622EE8"/>
    <w:rsid w:val="00625019"/>
    <w:rsid w:val="006951F7"/>
    <w:rsid w:val="006B2B4B"/>
    <w:rsid w:val="006D2152"/>
    <w:rsid w:val="006D4FCD"/>
    <w:rsid w:val="00703456"/>
    <w:rsid w:val="00710D17"/>
    <w:rsid w:val="00735BBF"/>
    <w:rsid w:val="007441E1"/>
    <w:rsid w:val="00750ACC"/>
    <w:rsid w:val="007579C8"/>
    <w:rsid w:val="00762E31"/>
    <w:rsid w:val="00780E78"/>
    <w:rsid w:val="00781A0D"/>
    <w:rsid w:val="007A0B0B"/>
    <w:rsid w:val="007B0B38"/>
    <w:rsid w:val="007C5D27"/>
    <w:rsid w:val="007D21A1"/>
    <w:rsid w:val="007E1EE6"/>
    <w:rsid w:val="007E55A0"/>
    <w:rsid w:val="00810705"/>
    <w:rsid w:val="00843EEA"/>
    <w:rsid w:val="00894641"/>
    <w:rsid w:val="008956A6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9773E"/>
    <w:rsid w:val="009A4C98"/>
    <w:rsid w:val="009B1EF0"/>
    <w:rsid w:val="009E3D51"/>
    <w:rsid w:val="009F51C3"/>
    <w:rsid w:val="00A21F93"/>
    <w:rsid w:val="00A41C86"/>
    <w:rsid w:val="00A5031E"/>
    <w:rsid w:val="00A929CA"/>
    <w:rsid w:val="00A96D08"/>
    <w:rsid w:val="00AA34CB"/>
    <w:rsid w:val="00B0713C"/>
    <w:rsid w:val="00B21F08"/>
    <w:rsid w:val="00B27619"/>
    <w:rsid w:val="00B33ED5"/>
    <w:rsid w:val="00B5543D"/>
    <w:rsid w:val="00B93003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889"/>
    <w:rsid w:val="00D17AD5"/>
    <w:rsid w:val="00D60673"/>
    <w:rsid w:val="00D6791D"/>
    <w:rsid w:val="00D96B89"/>
    <w:rsid w:val="00DB3151"/>
    <w:rsid w:val="00DD6BEF"/>
    <w:rsid w:val="00DE2049"/>
    <w:rsid w:val="00E01304"/>
    <w:rsid w:val="00E1218A"/>
    <w:rsid w:val="00E369B3"/>
    <w:rsid w:val="00E4662C"/>
    <w:rsid w:val="00E466AF"/>
    <w:rsid w:val="00E529BD"/>
    <w:rsid w:val="00E669F0"/>
    <w:rsid w:val="00E67885"/>
    <w:rsid w:val="00E7289B"/>
    <w:rsid w:val="00EA494B"/>
    <w:rsid w:val="00F157A9"/>
    <w:rsid w:val="00F27F82"/>
    <w:rsid w:val="00F320AF"/>
    <w:rsid w:val="00F66794"/>
    <w:rsid w:val="00F70A59"/>
    <w:rsid w:val="00F80019"/>
    <w:rsid w:val="00F9764C"/>
    <w:rsid w:val="00FC448A"/>
    <w:rsid w:val="00FC6E63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427C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427C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427C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DE204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536C12EF715E3F01B96E98478917AC475F4901l8R3H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consultantplus://offline/ref=4E989BAE2E115E6E9D156CC78264457339BB809906688656DA79D1420F66E4A1396F8717483867D88E45BDCEG2g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EC64-43A9-425D-A72D-E3300C3A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7933</Words>
  <Characters>45223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Comp5</cp:lastModifiedBy>
  <cp:revision>45</cp:revision>
  <cp:lastPrinted>2014-12-25T12:45:00Z</cp:lastPrinted>
  <dcterms:created xsi:type="dcterms:W3CDTF">2014-10-20T14:51:00Z</dcterms:created>
  <dcterms:modified xsi:type="dcterms:W3CDTF">2014-12-27T09:40:00Z</dcterms:modified>
</cp:coreProperties>
</file>