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60" w:rsidRDefault="00FB1160" w:rsidP="00FB1160">
      <w:pPr>
        <w:tabs>
          <w:tab w:val="left" w:pos="1220"/>
        </w:tabs>
        <w:jc w:val="center"/>
        <w:rPr>
          <w:b/>
          <w:sz w:val="28"/>
          <w:szCs w:val="28"/>
        </w:rPr>
      </w:pPr>
      <w:r>
        <w:rPr>
          <w:b/>
          <w:sz w:val="28"/>
          <w:szCs w:val="28"/>
        </w:rPr>
        <w:t>АДМИНИСТРАЦИЯ ВОЙСКОВИЦКОГО СЕЛЬСКОГО ПОСЕЛЕНИЯ</w:t>
      </w:r>
    </w:p>
    <w:p w:rsidR="00FB1160" w:rsidRDefault="00FB1160" w:rsidP="00FB1160">
      <w:pPr>
        <w:tabs>
          <w:tab w:val="left" w:pos="1220"/>
        </w:tabs>
        <w:jc w:val="center"/>
        <w:rPr>
          <w:b/>
          <w:sz w:val="28"/>
          <w:szCs w:val="28"/>
        </w:rPr>
      </w:pPr>
      <w:r>
        <w:rPr>
          <w:b/>
          <w:sz w:val="28"/>
          <w:szCs w:val="28"/>
        </w:rPr>
        <w:t>ГАТЧИНСКОГО МУНИЦИПАЛЬНОГО РАЙОНА</w:t>
      </w:r>
    </w:p>
    <w:p w:rsidR="00FB1160" w:rsidRDefault="00FB1160" w:rsidP="00FB1160">
      <w:pPr>
        <w:tabs>
          <w:tab w:val="left" w:pos="1220"/>
        </w:tabs>
        <w:jc w:val="center"/>
        <w:rPr>
          <w:b/>
          <w:sz w:val="28"/>
          <w:szCs w:val="28"/>
        </w:rPr>
      </w:pPr>
      <w:r>
        <w:rPr>
          <w:b/>
          <w:sz w:val="28"/>
          <w:szCs w:val="28"/>
        </w:rPr>
        <w:t>ЛЕНИНГРАДСКОЙ ОБЛАСТИ</w:t>
      </w:r>
    </w:p>
    <w:p w:rsidR="00FB1160" w:rsidRDefault="00FB1160" w:rsidP="00FB1160">
      <w:pPr>
        <w:tabs>
          <w:tab w:val="left" w:pos="1220"/>
        </w:tabs>
        <w:jc w:val="center"/>
        <w:rPr>
          <w:sz w:val="22"/>
          <w:szCs w:val="22"/>
        </w:rPr>
      </w:pPr>
    </w:p>
    <w:p w:rsidR="00FB1160" w:rsidRDefault="00FB1160" w:rsidP="00FB1160">
      <w:pPr>
        <w:tabs>
          <w:tab w:val="left" w:pos="1220"/>
        </w:tabs>
        <w:jc w:val="center"/>
        <w:rPr>
          <w:sz w:val="28"/>
          <w:szCs w:val="28"/>
        </w:rPr>
      </w:pPr>
    </w:p>
    <w:p w:rsidR="00FB1160" w:rsidRDefault="00FB1160" w:rsidP="00FB1160">
      <w:pPr>
        <w:tabs>
          <w:tab w:val="left" w:pos="1220"/>
        </w:tabs>
        <w:jc w:val="center"/>
        <w:rPr>
          <w:sz w:val="28"/>
          <w:szCs w:val="28"/>
        </w:rPr>
      </w:pPr>
      <w:proofErr w:type="gramStart"/>
      <w:r>
        <w:rPr>
          <w:sz w:val="28"/>
          <w:szCs w:val="28"/>
        </w:rPr>
        <w:t>П</w:t>
      </w:r>
      <w:proofErr w:type="gramEnd"/>
      <w:r>
        <w:rPr>
          <w:sz w:val="28"/>
          <w:szCs w:val="28"/>
        </w:rPr>
        <w:t xml:space="preserve"> О С Т А Н О В Л Е Н И Е</w:t>
      </w:r>
    </w:p>
    <w:p w:rsidR="00FB1160" w:rsidRDefault="00D11392" w:rsidP="00FB1160">
      <w:pPr>
        <w:tabs>
          <w:tab w:val="left" w:pos="1220"/>
          <w:tab w:val="left" w:pos="8865"/>
        </w:tabs>
        <w:rPr>
          <w:sz w:val="28"/>
          <w:szCs w:val="28"/>
        </w:rPr>
      </w:pPr>
      <w:r>
        <w:rPr>
          <w:sz w:val="28"/>
          <w:szCs w:val="28"/>
        </w:rPr>
        <w:t>12.10.2022</w:t>
      </w:r>
      <w:r w:rsidR="00FB1160">
        <w:rPr>
          <w:sz w:val="28"/>
          <w:szCs w:val="28"/>
        </w:rPr>
        <w:tab/>
      </w:r>
      <w:r w:rsidR="00FB1160">
        <w:rPr>
          <w:sz w:val="28"/>
          <w:szCs w:val="28"/>
        </w:rPr>
        <w:tab/>
        <w:t>№</w:t>
      </w:r>
      <w:r>
        <w:rPr>
          <w:sz w:val="28"/>
          <w:szCs w:val="28"/>
        </w:rPr>
        <w:t>190</w:t>
      </w:r>
    </w:p>
    <w:tbl>
      <w:tblPr>
        <w:tblW w:w="0" w:type="auto"/>
        <w:tblLook w:val="04A0"/>
      </w:tblPr>
      <w:tblGrid>
        <w:gridCol w:w="4928"/>
      </w:tblGrid>
      <w:tr w:rsidR="00FB1160" w:rsidTr="00D11392">
        <w:tc>
          <w:tcPr>
            <w:tcW w:w="4928" w:type="dxa"/>
          </w:tcPr>
          <w:p w:rsidR="00FB1160" w:rsidRDefault="00FB1160" w:rsidP="00D11392">
            <w:pPr>
              <w:widowControl w:val="0"/>
              <w:autoSpaceDE w:val="0"/>
              <w:autoSpaceDN w:val="0"/>
              <w:adjustRightInd w:val="0"/>
              <w:ind w:firstLine="709"/>
              <w:jc w:val="both"/>
              <w:outlineLvl w:val="0"/>
              <w:rPr>
                <w:b/>
                <w:bCs/>
                <w:sz w:val="28"/>
                <w:szCs w:val="28"/>
                <w:lang w:eastAsia="ar-SA"/>
              </w:rPr>
            </w:pPr>
          </w:p>
          <w:p w:rsidR="00FB1160" w:rsidRDefault="00FB1160" w:rsidP="00D11392">
            <w:pPr>
              <w:widowControl w:val="0"/>
              <w:autoSpaceDE w:val="0"/>
              <w:autoSpaceDN w:val="0"/>
              <w:adjustRightInd w:val="0"/>
              <w:spacing w:after="200" w:line="276" w:lineRule="auto"/>
              <w:jc w:val="both"/>
              <w:outlineLvl w:val="0"/>
              <w:rPr>
                <w:b/>
                <w:bCs/>
                <w:sz w:val="28"/>
                <w:szCs w:val="28"/>
                <w:lang w:eastAsia="ar-SA"/>
              </w:rPr>
            </w:pPr>
            <w:r>
              <w:rPr>
                <w:b/>
                <w:bCs/>
                <w:sz w:val="28"/>
                <w:szCs w:val="28"/>
              </w:rPr>
              <w:t xml:space="preserve">Об утверждении административного регламента предоставления муниципальной услуги </w:t>
            </w:r>
            <w:r w:rsidRPr="000C5F48">
              <w:rPr>
                <w:b/>
                <w:bCs/>
                <w:sz w:val="28"/>
                <w:szCs w:val="28"/>
              </w:rPr>
              <w:t>«</w:t>
            </w:r>
            <w:r w:rsidRPr="00B81989">
              <w:rPr>
                <w:b/>
                <w:sz w:val="28"/>
                <w:szCs w:val="28"/>
              </w:rPr>
              <w:t>Согласование проведения переустройства и (или) перепланировки помещения в многоквартирном доме</w:t>
            </w:r>
            <w:r w:rsidRPr="000C5F48">
              <w:rPr>
                <w:b/>
                <w:bCs/>
                <w:sz w:val="28"/>
                <w:szCs w:val="28"/>
              </w:rPr>
              <w:t>»</w:t>
            </w:r>
          </w:p>
        </w:tc>
      </w:tr>
    </w:tbl>
    <w:p w:rsidR="00FB1160" w:rsidRDefault="00FB1160" w:rsidP="00FB1160">
      <w:pPr>
        <w:tabs>
          <w:tab w:val="left" w:pos="1220"/>
        </w:tabs>
        <w:rPr>
          <w:sz w:val="28"/>
          <w:szCs w:val="28"/>
          <w:lang w:eastAsia="ar-SA"/>
        </w:rPr>
      </w:pPr>
    </w:p>
    <w:p w:rsidR="00FB1160" w:rsidRDefault="00FB1160" w:rsidP="00FB1160">
      <w:pPr>
        <w:tabs>
          <w:tab w:val="left" w:pos="1220"/>
        </w:tabs>
        <w:rPr>
          <w:sz w:val="28"/>
          <w:szCs w:val="28"/>
          <w:lang w:eastAsia="ar-SA"/>
        </w:rPr>
      </w:pPr>
    </w:p>
    <w:p w:rsidR="00FB1160" w:rsidRDefault="00FB1160" w:rsidP="00FB1160">
      <w:pPr>
        <w:autoSpaceDE w:val="0"/>
        <w:ind w:firstLine="708"/>
        <w:jc w:val="both"/>
        <w:rPr>
          <w:bCs/>
          <w:sz w:val="28"/>
          <w:szCs w:val="28"/>
          <w:lang w:eastAsia="en-US"/>
        </w:rPr>
      </w:pPr>
      <w:proofErr w:type="gramStart"/>
      <w:r>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Pr>
          <w:b/>
          <w:sz w:val="28"/>
          <w:szCs w:val="28"/>
        </w:rPr>
        <w:t xml:space="preserve"> </w:t>
      </w:r>
      <w:r>
        <w:rPr>
          <w:sz w:val="28"/>
          <w:szCs w:val="28"/>
        </w:rPr>
        <w:t>от 27.07.2010г</w:t>
      </w:r>
      <w:r>
        <w:rPr>
          <w:b/>
          <w:sz w:val="28"/>
          <w:szCs w:val="28"/>
        </w:rPr>
        <w:t xml:space="preserve"> </w:t>
      </w:r>
      <w:r>
        <w:rPr>
          <w:sz w:val="28"/>
          <w:szCs w:val="28"/>
        </w:rPr>
        <w:t>№210-ФЗ</w:t>
      </w:r>
      <w:r>
        <w:rPr>
          <w:b/>
          <w:sz w:val="28"/>
          <w:szCs w:val="28"/>
        </w:rPr>
        <w:t xml:space="preserve"> </w:t>
      </w:r>
      <w:r>
        <w:rPr>
          <w:sz w:val="28"/>
          <w:szCs w:val="28"/>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Pr>
          <w:sz w:val="28"/>
          <w:szCs w:val="28"/>
        </w:rPr>
        <w:t>Войсковицкое</w:t>
      </w:r>
      <w:proofErr w:type="spellEnd"/>
      <w:r>
        <w:rPr>
          <w:sz w:val="28"/>
          <w:szCs w:val="28"/>
        </w:rPr>
        <w:t xml:space="preserve"> сельское поселение Гатчинского муниципального района Ленинградской области,</w:t>
      </w:r>
      <w:r>
        <w:rPr>
          <w:bCs/>
          <w:sz w:val="28"/>
          <w:szCs w:val="28"/>
        </w:rPr>
        <w:t xml:space="preserve"> Порядком разработки и утверждения административных</w:t>
      </w:r>
      <w:proofErr w:type="gramEnd"/>
      <w:r>
        <w:rPr>
          <w:bCs/>
          <w:sz w:val="28"/>
          <w:szCs w:val="28"/>
        </w:rPr>
        <w:t xml:space="preserve"> регламентов предоставления  муниципальных услуг в МО </w:t>
      </w:r>
      <w:proofErr w:type="spellStart"/>
      <w:r>
        <w:rPr>
          <w:bCs/>
          <w:sz w:val="28"/>
          <w:szCs w:val="28"/>
        </w:rPr>
        <w:t>Войсковицкое</w:t>
      </w:r>
      <w:proofErr w:type="spellEnd"/>
      <w:r>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Pr>
          <w:bCs/>
          <w:sz w:val="28"/>
          <w:szCs w:val="28"/>
        </w:rPr>
        <w:t>Войсковицкого</w:t>
      </w:r>
      <w:proofErr w:type="spellEnd"/>
      <w:r>
        <w:rPr>
          <w:bCs/>
          <w:sz w:val="28"/>
          <w:szCs w:val="28"/>
        </w:rPr>
        <w:t xml:space="preserve"> сельского поселения от 22.06.2011г №80, администрация </w:t>
      </w:r>
      <w:proofErr w:type="spellStart"/>
      <w:r>
        <w:rPr>
          <w:bCs/>
          <w:sz w:val="28"/>
          <w:szCs w:val="28"/>
        </w:rPr>
        <w:t>Войсковицкого</w:t>
      </w:r>
      <w:proofErr w:type="spellEnd"/>
      <w:r>
        <w:rPr>
          <w:bCs/>
          <w:sz w:val="28"/>
          <w:szCs w:val="28"/>
        </w:rPr>
        <w:t xml:space="preserve"> сельского поселения</w:t>
      </w:r>
    </w:p>
    <w:p w:rsidR="00FB1160" w:rsidRDefault="00FB1160" w:rsidP="00FB1160">
      <w:pPr>
        <w:autoSpaceDE w:val="0"/>
        <w:ind w:firstLine="708"/>
        <w:jc w:val="both"/>
        <w:rPr>
          <w:sz w:val="28"/>
          <w:szCs w:val="28"/>
        </w:rPr>
      </w:pPr>
      <w:r>
        <w:rPr>
          <w:b/>
          <w:sz w:val="28"/>
          <w:szCs w:val="28"/>
        </w:rPr>
        <w:t>ПОСТАНОВЛЯЕТ</w:t>
      </w:r>
      <w:r>
        <w:rPr>
          <w:sz w:val="28"/>
          <w:szCs w:val="28"/>
        </w:rPr>
        <w:t>:</w:t>
      </w:r>
    </w:p>
    <w:p w:rsidR="00FB1160" w:rsidRDefault="00FB1160" w:rsidP="00FB1160">
      <w:pPr>
        <w:autoSpaceDE w:val="0"/>
        <w:ind w:firstLine="708"/>
        <w:jc w:val="both"/>
        <w:rPr>
          <w:rFonts w:asciiTheme="minorHAnsi" w:hAnsiTheme="minorHAnsi" w:cstheme="minorBidi"/>
          <w:sz w:val="28"/>
          <w:szCs w:val="28"/>
        </w:rPr>
      </w:pPr>
    </w:p>
    <w:p w:rsidR="00FB1160" w:rsidRPr="00FB1160" w:rsidRDefault="00FB1160" w:rsidP="00FB1160">
      <w:pPr>
        <w:pStyle w:val="af7"/>
        <w:widowControl w:val="0"/>
        <w:numPr>
          <w:ilvl w:val="0"/>
          <w:numId w:val="41"/>
        </w:numPr>
        <w:tabs>
          <w:tab w:val="left" w:pos="142"/>
          <w:tab w:val="left" w:pos="284"/>
        </w:tabs>
        <w:autoSpaceDE w:val="0"/>
        <w:autoSpaceDN w:val="0"/>
        <w:adjustRightInd w:val="0"/>
        <w:ind w:left="0" w:firstLine="680"/>
        <w:jc w:val="both"/>
        <w:outlineLvl w:val="0"/>
        <w:rPr>
          <w:rFonts w:ascii="Times New Roman" w:hAnsi="Times New Roman"/>
          <w:sz w:val="28"/>
          <w:szCs w:val="28"/>
        </w:rPr>
      </w:pPr>
      <w:r w:rsidRPr="00FB1160">
        <w:rPr>
          <w:rFonts w:ascii="Times New Roman" w:hAnsi="Times New Roman"/>
          <w:sz w:val="28"/>
          <w:szCs w:val="28"/>
        </w:rPr>
        <w:t xml:space="preserve">Признать утратившим силу постановление от 22.08.2022 № 163 </w:t>
      </w:r>
      <w:r w:rsidRPr="00FB1160">
        <w:rPr>
          <w:rFonts w:ascii="Times New Roman" w:hAnsi="Times New Roman"/>
          <w:bCs/>
          <w:sz w:val="28"/>
          <w:szCs w:val="28"/>
        </w:rPr>
        <w:t>«</w:t>
      </w:r>
      <w:r w:rsidRPr="00FB1160">
        <w:rPr>
          <w:rFonts w:ascii="Times New Roman" w:hAnsi="Times New Roman"/>
          <w:sz w:val="28"/>
          <w:szCs w:val="28"/>
        </w:rPr>
        <w:t xml:space="preserve">Прием заявлений и выдача документов </w:t>
      </w:r>
      <w:r w:rsidRPr="00FB1160">
        <w:rPr>
          <w:rFonts w:ascii="Times New Roman" w:hAnsi="Times New Roman"/>
          <w:sz w:val="28"/>
          <w:szCs w:val="28"/>
        </w:rPr>
        <w:br/>
        <w:t xml:space="preserve">о согласовании переустройства и (или) перепланировки помещения </w:t>
      </w:r>
      <w:r w:rsidRPr="00FB1160">
        <w:rPr>
          <w:rFonts w:ascii="Times New Roman" w:hAnsi="Times New Roman"/>
          <w:sz w:val="28"/>
          <w:szCs w:val="28"/>
        </w:rPr>
        <w:br/>
        <w:t>в многоквартирном доме</w:t>
      </w:r>
      <w:r w:rsidRPr="00FB1160">
        <w:rPr>
          <w:rFonts w:ascii="Times New Roman" w:hAnsi="Times New Roman"/>
          <w:bCs/>
          <w:sz w:val="28"/>
          <w:szCs w:val="28"/>
        </w:rPr>
        <w:t>»</w:t>
      </w:r>
      <w:r w:rsidRPr="00FB1160">
        <w:rPr>
          <w:rFonts w:ascii="Times New Roman" w:hAnsi="Times New Roman"/>
          <w:sz w:val="28"/>
          <w:szCs w:val="28"/>
        </w:rPr>
        <w:t>.</w:t>
      </w:r>
    </w:p>
    <w:p w:rsidR="00FB1160" w:rsidRPr="00FB1160" w:rsidRDefault="00FB1160" w:rsidP="00FB1160">
      <w:pPr>
        <w:pStyle w:val="af7"/>
        <w:widowControl w:val="0"/>
        <w:numPr>
          <w:ilvl w:val="0"/>
          <w:numId w:val="41"/>
        </w:numPr>
        <w:tabs>
          <w:tab w:val="num" w:pos="284"/>
        </w:tabs>
        <w:suppressAutoHyphens/>
        <w:autoSpaceDE w:val="0"/>
        <w:autoSpaceDN w:val="0"/>
        <w:adjustRightInd w:val="0"/>
        <w:ind w:left="0" w:firstLine="680"/>
        <w:jc w:val="both"/>
        <w:outlineLvl w:val="0"/>
        <w:rPr>
          <w:rFonts w:ascii="Times New Roman" w:hAnsi="Times New Roman"/>
          <w:sz w:val="28"/>
          <w:szCs w:val="28"/>
        </w:rPr>
      </w:pPr>
      <w:r w:rsidRPr="009078E6">
        <w:rPr>
          <w:rFonts w:ascii="Times New Roman" w:hAnsi="Times New Roman"/>
          <w:sz w:val="28"/>
          <w:szCs w:val="28"/>
        </w:rPr>
        <w:t xml:space="preserve">Утвердить административный регламент предоставления муниципальной услуги </w:t>
      </w:r>
      <w:r w:rsidRPr="009078E6">
        <w:rPr>
          <w:rFonts w:ascii="Times New Roman" w:hAnsi="Times New Roman"/>
          <w:bCs/>
          <w:sz w:val="28"/>
          <w:szCs w:val="28"/>
        </w:rPr>
        <w:t>«</w:t>
      </w:r>
      <w:r w:rsidRPr="00FB1160">
        <w:rPr>
          <w:rFonts w:ascii="Times New Roman" w:hAnsi="Times New Roman"/>
          <w:sz w:val="28"/>
          <w:szCs w:val="28"/>
        </w:rPr>
        <w:t>Согласование проведения переустройства и (или) перепланировки помещения в многоквартирном доме</w:t>
      </w:r>
      <w:r w:rsidRPr="00FB1160">
        <w:rPr>
          <w:rFonts w:ascii="Times New Roman" w:hAnsi="Times New Roman"/>
          <w:bCs/>
          <w:sz w:val="28"/>
          <w:szCs w:val="28"/>
        </w:rPr>
        <w:t>»</w:t>
      </w:r>
      <w:r w:rsidRPr="00FB1160">
        <w:rPr>
          <w:rFonts w:ascii="Times New Roman" w:hAnsi="Times New Roman"/>
          <w:sz w:val="28"/>
          <w:szCs w:val="28"/>
        </w:rPr>
        <w:t xml:space="preserve"> (Приложение).</w:t>
      </w:r>
    </w:p>
    <w:p w:rsidR="00FB1160" w:rsidRPr="009078E6" w:rsidRDefault="00FB1160" w:rsidP="00FB1160">
      <w:pPr>
        <w:pStyle w:val="af7"/>
        <w:widowControl w:val="0"/>
        <w:numPr>
          <w:ilvl w:val="0"/>
          <w:numId w:val="41"/>
        </w:numPr>
        <w:tabs>
          <w:tab w:val="num" w:pos="284"/>
        </w:tabs>
        <w:suppressAutoHyphens/>
        <w:autoSpaceDE w:val="0"/>
        <w:autoSpaceDN w:val="0"/>
        <w:adjustRightInd w:val="0"/>
        <w:ind w:left="0" w:firstLine="680"/>
        <w:jc w:val="both"/>
        <w:outlineLvl w:val="0"/>
        <w:rPr>
          <w:rFonts w:ascii="Times New Roman" w:hAnsi="Times New Roman"/>
          <w:sz w:val="28"/>
          <w:szCs w:val="28"/>
        </w:rPr>
      </w:pPr>
      <w:proofErr w:type="gramStart"/>
      <w:r w:rsidRPr="009078E6">
        <w:rPr>
          <w:rFonts w:ascii="Times New Roman" w:hAnsi="Times New Roman"/>
          <w:sz w:val="28"/>
          <w:szCs w:val="28"/>
        </w:rPr>
        <w:t>Ответственным</w:t>
      </w:r>
      <w:proofErr w:type="gramEnd"/>
      <w:r w:rsidRPr="009078E6">
        <w:rPr>
          <w:rFonts w:ascii="Times New Roman" w:hAnsi="Times New Roman"/>
          <w:sz w:val="28"/>
          <w:szCs w:val="28"/>
        </w:rPr>
        <w:t xml:space="preserve"> за предоставление муниципальной услуги назначить начальника канцелярии администрации </w:t>
      </w:r>
      <w:proofErr w:type="spellStart"/>
      <w:r w:rsidRPr="009078E6">
        <w:rPr>
          <w:rFonts w:ascii="Times New Roman" w:hAnsi="Times New Roman"/>
          <w:sz w:val="28"/>
          <w:szCs w:val="28"/>
        </w:rPr>
        <w:t>Войсковицкого</w:t>
      </w:r>
      <w:proofErr w:type="spellEnd"/>
      <w:r w:rsidRPr="009078E6">
        <w:rPr>
          <w:rFonts w:ascii="Times New Roman" w:hAnsi="Times New Roman"/>
          <w:sz w:val="28"/>
          <w:szCs w:val="28"/>
        </w:rPr>
        <w:t xml:space="preserve"> сельского поселения Исаеву К.А.</w:t>
      </w:r>
    </w:p>
    <w:p w:rsidR="00FB1160" w:rsidRPr="009078E6" w:rsidRDefault="00FB1160" w:rsidP="00FB1160">
      <w:pPr>
        <w:pStyle w:val="af7"/>
        <w:widowControl w:val="0"/>
        <w:numPr>
          <w:ilvl w:val="0"/>
          <w:numId w:val="41"/>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28"/>
          <w:szCs w:val="28"/>
        </w:rPr>
      </w:pPr>
      <w:r w:rsidRPr="009078E6">
        <w:rPr>
          <w:rFonts w:ascii="Times New Roman" w:hAnsi="Times New Roman"/>
          <w:sz w:val="28"/>
          <w:szCs w:val="28"/>
        </w:rPr>
        <w:t xml:space="preserve">Начальнику канцелярии внести соответствующие изменения в реестр </w:t>
      </w:r>
      <w:r w:rsidRPr="009078E6">
        <w:rPr>
          <w:rFonts w:ascii="Times New Roman" w:hAnsi="Times New Roman"/>
          <w:sz w:val="28"/>
          <w:szCs w:val="28"/>
        </w:rPr>
        <w:lastRenderedPageBreak/>
        <w:t xml:space="preserve">муниципальных услуг, оказываемых администрацией </w:t>
      </w:r>
      <w:proofErr w:type="spellStart"/>
      <w:r w:rsidRPr="009078E6">
        <w:rPr>
          <w:rFonts w:ascii="Times New Roman" w:hAnsi="Times New Roman"/>
          <w:sz w:val="28"/>
          <w:szCs w:val="28"/>
        </w:rPr>
        <w:t>Войсковицкого</w:t>
      </w:r>
      <w:proofErr w:type="spellEnd"/>
      <w:r w:rsidRPr="009078E6">
        <w:rPr>
          <w:rFonts w:ascii="Times New Roman" w:hAnsi="Times New Roman"/>
          <w:sz w:val="28"/>
          <w:szCs w:val="28"/>
        </w:rPr>
        <w:t xml:space="preserve"> сельского поселения.</w:t>
      </w:r>
    </w:p>
    <w:p w:rsidR="00FB1160" w:rsidRDefault="00FB1160" w:rsidP="00FB1160">
      <w:pPr>
        <w:pStyle w:val="af7"/>
        <w:widowControl w:val="0"/>
        <w:numPr>
          <w:ilvl w:val="0"/>
          <w:numId w:val="41"/>
        </w:numPr>
        <w:tabs>
          <w:tab w:val="left" w:pos="142"/>
          <w:tab w:val="num" w:pos="284"/>
        </w:tab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Настоящее постановление  подлежит официальному опубликованию в печатном издании «</w:t>
      </w:r>
      <w:proofErr w:type="spellStart"/>
      <w:r>
        <w:rPr>
          <w:rFonts w:ascii="Times New Roman" w:hAnsi="Times New Roman"/>
          <w:sz w:val="28"/>
          <w:szCs w:val="28"/>
        </w:rPr>
        <w:t>Войсковицкий</w:t>
      </w:r>
      <w:proofErr w:type="spellEnd"/>
      <w:r>
        <w:rPr>
          <w:rFonts w:ascii="Times New Roman" w:hAnsi="Times New Roman"/>
          <w:sz w:val="28"/>
          <w:szCs w:val="28"/>
        </w:rPr>
        <w:t xml:space="preserve"> вестник» и размещению на официальном сайте муниципального образования </w:t>
      </w:r>
      <w:proofErr w:type="spellStart"/>
      <w:r>
        <w:rPr>
          <w:rFonts w:ascii="Times New Roman" w:hAnsi="Times New Roman"/>
          <w:sz w:val="28"/>
          <w:szCs w:val="28"/>
        </w:rPr>
        <w:t>Войсковицкое</w:t>
      </w:r>
      <w:proofErr w:type="spellEnd"/>
      <w:r>
        <w:rPr>
          <w:rFonts w:ascii="Times New Roman" w:hAnsi="Times New Roman"/>
          <w:sz w:val="28"/>
          <w:szCs w:val="28"/>
        </w:rPr>
        <w:t xml:space="preserve"> сельское поселение.</w:t>
      </w:r>
    </w:p>
    <w:p w:rsidR="00FB1160" w:rsidRDefault="00FB1160" w:rsidP="00FB1160">
      <w:pPr>
        <w:pStyle w:val="af7"/>
        <w:numPr>
          <w:ilvl w:val="0"/>
          <w:numId w:val="41"/>
        </w:numPr>
        <w:tabs>
          <w:tab w:val="left" w:pos="0"/>
          <w:tab w:val="num" w:pos="284"/>
          <w:tab w:val="left" w:pos="567"/>
        </w:tabs>
        <w:suppressAutoHyphens/>
        <w:autoSpaceDE w:val="0"/>
        <w:spacing w:line="0" w:lineRule="atLeast"/>
        <w:ind w:left="284" w:hanging="284"/>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 в печатном издании «</w:t>
      </w:r>
      <w:proofErr w:type="spellStart"/>
      <w:r>
        <w:rPr>
          <w:rFonts w:ascii="Times New Roman" w:hAnsi="Times New Roman"/>
          <w:sz w:val="28"/>
          <w:szCs w:val="28"/>
        </w:rPr>
        <w:t>Войсковицкий</w:t>
      </w:r>
      <w:proofErr w:type="spellEnd"/>
      <w:r>
        <w:rPr>
          <w:rFonts w:ascii="Times New Roman" w:hAnsi="Times New Roman"/>
          <w:sz w:val="28"/>
          <w:szCs w:val="28"/>
        </w:rPr>
        <w:t xml:space="preserve"> вестник».</w:t>
      </w:r>
    </w:p>
    <w:p w:rsidR="00FB1160" w:rsidRDefault="00FB1160" w:rsidP="00FB1160">
      <w:pPr>
        <w:pStyle w:val="af7"/>
        <w:numPr>
          <w:ilvl w:val="0"/>
          <w:numId w:val="41"/>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B1160" w:rsidRDefault="00FB1160" w:rsidP="00FB1160">
      <w:pPr>
        <w:pStyle w:val="21"/>
        <w:spacing w:after="0" w:line="240" w:lineRule="auto"/>
        <w:ind w:left="0"/>
        <w:jc w:val="both"/>
        <w:rPr>
          <w:sz w:val="28"/>
          <w:szCs w:val="28"/>
        </w:rPr>
      </w:pPr>
    </w:p>
    <w:p w:rsidR="00FB1160" w:rsidRDefault="00FB1160" w:rsidP="00FB1160">
      <w:pPr>
        <w:pStyle w:val="21"/>
        <w:spacing w:after="0" w:line="240" w:lineRule="auto"/>
        <w:ind w:left="0"/>
        <w:jc w:val="both"/>
        <w:rPr>
          <w:sz w:val="28"/>
          <w:szCs w:val="28"/>
        </w:rPr>
      </w:pPr>
    </w:p>
    <w:p w:rsidR="00FB1160" w:rsidRDefault="00FB1160" w:rsidP="00FB1160">
      <w:pPr>
        <w:pStyle w:val="21"/>
        <w:spacing w:after="0" w:line="240" w:lineRule="auto"/>
        <w:ind w:left="0"/>
        <w:rPr>
          <w:sz w:val="28"/>
          <w:szCs w:val="28"/>
        </w:rPr>
      </w:pPr>
    </w:p>
    <w:p w:rsidR="00FB1160" w:rsidRDefault="00FB1160" w:rsidP="00FB1160">
      <w:pPr>
        <w:pStyle w:val="21"/>
        <w:spacing w:after="0" w:line="240" w:lineRule="auto"/>
        <w:ind w:left="0"/>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Воронин</w:t>
      </w:r>
      <w:r>
        <w:t xml:space="preserve"> </w:t>
      </w:r>
    </w:p>
    <w:p w:rsidR="00FB1160" w:rsidRDefault="00FB1160">
      <w:pPr>
        <w:rPr>
          <w:b/>
          <w:bCs/>
          <w:sz w:val="28"/>
          <w:szCs w:val="28"/>
        </w:rPr>
      </w:pPr>
      <w:r>
        <w:rPr>
          <w:b/>
          <w:bCs/>
          <w:sz w:val="28"/>
          <w:szCs w:val="28"/>
        </w:rPr>
        <w:br w:type="page"/>
      </w:r>
    </w:p>
    <w:p w:rsidR="0004557D" w:rsidRDefault="00FB1160" w:rsidP="00B81989">
      <w:pPr>
        <w:jc w:val="center"/>
        <w:rPr>
          <w:b/>
          <w:sz w:val="28"/>
          <w:szCs w:val="28"/>
        </w:rPr>
      </w:pPr>
      <w:r w:rsidRPr="00FB1160">
        <w:rPr>
          <w:b/>
          <w:bCs/>
          <w:sz w:val="28"/>
          <w:szCs w:val="28"/>
        </w:rPr>
        <w:lastRenderedPageBreak/>
        <w:t>Административный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proofErr w:type="spellStart"/>
      <w:r w:rsidR="00FB1160" w:rsidRPr="00FB1160">
        <w:rPr>
          <w:rFonts w:ascii="Times New Roman" w:hAnsi="Times New Roman"/>
          <w:sz w:val="28"/>
          <w:szCs w:val="28"/>
        </w:rPr>
        <w:t>Войсковицкого</w:t>
      </w:r>
      <w:proofErr w:type="spellEnd"/>
      <w:r w:rsidR="00FB1160" w:rsidRPr="00FB1160">
        <w:rPr>
          <w:rFonts w:ascii="Times New Roman" w:hAnsi="Times New Roman"/>
          <w:sz w:val="28"/>
          <w:szCs w:val="28"/>
        </w:rPr>
        <w:t xml:space="preserve"> сельского поселения Гатчинского муниципального района Ленинградской области</w:t>
      </w:r>
      <w:r w:rsidRPr="00FB1160">
        <w:rPr>
          <w:rFonts w:ascii="Times New Roman" w:eastAsia="Calibri" w:hAnsi="Times New Roman"/>
          <w:sz w:val="28"/>
          <w:szCs w:val="28"/>
        </w:rPr>
        <w:t xml:space="preserve">, </w:t>
      </w:r>
      <w:r w:rsidR="00706D4F" w:rsidRPr="00FB1160">
        <w:rPr>
          <w:rFonts w:ascii="Times New Roman" w:eastAsia="Calibri" w:hAnsi="Times New Roman"/>
          <w:sz w:val="28"/>
          <w:szCs w:val="28"/>
        </w:rPr>
        <w:t>предоставляющей муниципальную услугу, организации, участвующей</w:t>
      </w:r>
      <w:r w:rsidR="00706D4F" w:rsidRPr="00630A98">
        <w:rPr>
          <w:rFonts w:ascii="Times New Roman" w:eastAsia="Calibri" w:hAnsi="Times New Roman"/>
          <w:sz w:val="28"/>
          <w:szCs w:val="28"/>
        </w:rPr>
        <w:t xml:space="preserve">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Pr="00FB1160" w:rsidRDefault="00687B75" w:rsidP="00687B75">
      <w:pPr>
        <w:ind w:firstLine="709"/>
        <w:jc w:val="both"/>
        <w:rPr>
          <w:sz w:val="28"/>
          <w:szCs w:val="28"/>
        </w:rPr>
      </w:pPr>
      <w:r w:rsidRPr="00FB1160">
        <w:rPr>
          <w:sz w:val="28"/>
          <w:szCs w:val="28"/>
        </w:rPr>
        <w:t xml:space="preserve">Администрация </w:t>
      </w:r>
      <w:proofErr w:type="spellStart"/>
      <w:r w:rsidR="00FB1160" w:rsidRPr="00FB1160">
        <w:rPr>
          <w:sz w:val="28"/>
          <w:szCs w:val="28"/>
        </w:rPr>
        <w:t>Войсковицкого</w:t>
      </w:r>
      <w:proofErr w:type="spellEnd"/>
      <w:r w:rsidR="00FB1160" w:rsidRPr="00FB1160">
        <w:rPr>
          <w:sz w:val="28"/>
          <w:szCs w:val="28"/>
        </w:rPr>
        <w:t xml:space="preserve"> сельского поселения Гатчинского муниципального района Ленинградской области</w:t>
      </w:r>
      <w:r w:rsidRPr="00FB1160">
        <w:rPr>
          <w:sz w:val="28"/>
          <w:szCs w:val="28"/>
        </w:rPr>
        <w:t xml:space="preserve"> </w:t>
      </w:r>
      <w:r w:rsidRPr="00FB1160">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FB1160">
        <w:rPr>
          <w:sz w:val="28"/>
          <w:szCs w:val="28"/>
        </w:rPr>
        <w:t>В приеме документов и выдаче результата по предоставлению</w:t>
      </w:r>
      <w:r w:rsidRPr="00B51DB1">
        <w:rPr>
          <w:sz w:val="28"/>
          <w:szCs w:val="28"/>
        </w:rPr>
        <w:t xml:space="preserve">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w:t>
      </w:r>
      <w:r w:rsidRPr="007C02D9">
        <w:rPr>
          <w:sz w:val="28"/>
          <w:szCs w:val="28"/>
        </w:rPr>
        <w:lastRenderedPageBreak/>
        <w:t>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w:t>
      </w:r>
      <w:r w:rsidRPr="002F63FC">
        <w:rPr>
          <w:sz w:val="28"/>
          <w:szCs w:val="28"/>
        </w:rPr>
        <w:lastRenderedPageBreak/>
        <w:t>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FB1160"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FB1160">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FB1160" w:rsidRDefault="00460C83" w:rsidP="002F63FC">
      <w:pPr>
        <w:widowControl w:val="0"/>
        <w:tabs>
          <w:tab w:val="left" w:pos="142"/>
          <w:tab w:val="left" w:pos="284"/>
        </w:tabs>
        <w:autoSpaceDE w:val="0"/>
        <w:autoSpaceDN w:val="0"/>
        <w:adjustRightInd w:val="0"/>
        <w:ind w:firstLine="709"/>
        <w:jc w:val="both"/>
        <w:rPr>
          <w:sz w:val="28"/>
          <w:szCs w:val="28"/>
        </w:rPr>
      </w:pPr>
      <w:r w:rsidRPr="00FB116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B1160" w:rsidRDefault="00615E31" w:rsidP="0038355E">
      <w:pPr>
        <w:widowControl w:val="0"/>
        <w:tabs>
          <w:tab w:val="left" w:pos="142"/>
          <w:tab w:val="left" w:pos="284"/>
        </w:tabs>
        <w:autoSpaceDE w:val="0"/>
        <w:autoSpaceDN w:val="0"/>
        <w:adjustRightInd w:val="0"/>
        <w:ind w:firstLine="709"/>
        <w:jc w:val="both"/>
        <w:rPr>
          <w:sz w:val="28"/>
          <w:szCs w:val="28"/>
        </w:rPr>
      </w:pPr>
      <w:r w:rsidRPr="00FB1160">
        <w:rPr>
          <w:sz w:val="28"/>
          <w:szCs w:val="28"/>
        </w:rPr>
        <w:t xml:space="preserve">1) заявление о переустройстве и (или) перепланировке по </w:t>
      </w:r>
      <w:hyperlink r:id="rId9" w:history="1">
        <w:r w:rsidRPr="00FB1160">
          <w:rPr>
            <w:sz w:val="28"/>
            <w:szCs w:val="28"/>
          </w:rPr>
          <w:t>форме</w:t>
        </w:r>
      </w:hyperlink>
      <w:r w:rsidR="00FC64BD" w:rsidRPr="00FB1160">
        <w:rPr>
          <w:sz w:val="28"/>
          <w:szCs w:val="28"/>
        </w:rPr>
        <w:t xml:space="preserve"> согласно Приложению </w:t>
      </w:r>
      <w:r w:rsidRPr="00FB1160">
        <w:rPr>
          <w:sz w:val="28"/>
          <w:szCs w:val="28"/>
        </w:rPr>
        <w:t>1 к настоящему административному регламенту;</w:t>
      </w:r>
    </w:p>
    <w:p w:rsidR="002F63FC" w:rsidRPr="00FB1160" w:rsidRDefault="002F63FC" w:rsidP="002F63FC">
      <w:pPr>
        <w:ind w:firstLine="709"/>
        <w:jc w:val="both"/>
        <w:rPr>
          <w:sz w:val="28"/>
          <w:szCs w:val="28"/>
        </w:rPr>
      </w:pPr>
      <w:r w:rsidRPr="00FB1160">
        <w:rPr>
          <w:sz w:val="28"/>
          <w:szCs w:val="28"/>
        </w:rPr>
        <w:t xml:space="preserve">2) </w:t>
      </w:r>
      <w:r w:rsidR="00587C41" w:rsidRPr="00FB1160">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FB1160">
        <w:rPr>
          <w:sz w:val="28"/>
          <w:szCs w:val="28"/>
        </w:rPr>
        <w:t>;</w:t>
      </w:r>
    </w:p>
    <w:p w:rsidR="00D427FE" w:rsidRPr="00FB1160" w:rsidRDefault="00587C41" w:rsidP="005F4A73">
      <w:pPr>
        <w:ind w:firstLine="540"/>
        <w:jc w:val="both"/>
        <w:rPr>
          <w:sz w:val="28"/>
          <w:szCs w:val="28"/>
        </w:rPr>
      </w:pPr>
      <w:bookmarkStart w:id="5" w:name="Par4"/>
      <w:bookmarkEnd w:id="5"/>
      <w:r w:rsidRPr="00FB1160">
        <w:rPr>
          <w:sz w:val="28"/>
          <w:szCs w:val="28"/>
        </w:rPr>
        <w:t>3</w:t>
      </w:r>
      <w:r w:rsidR="0038355E" w:rsidRPr="00FB1160">
        <w:rPr>
          <w:sz w:val="28"/>
          <w:szCs w:val="28"/>
        </w:rPr>
        <w:t xml:space="preserve">) </w:t>
      </w:r>
      <w:r w:rsidR="00D427FE" w:rsidRPr="00FB1160">
        <w:rPr>
          <w:sz w:val="28"/>
          <w:szCs w:val="28"/>
        </w:rPr>
        <w:t xml:space="preserve">правоустанавливающие документы на переустраиваемое и (или) </w:t>
      </w:r>
      <w:proofErr w:type="spellStart"/>
      <w:r w:rsidR="00D427FE" w:rsidRPr="00FB1160">
        <w:rPr>
          <w:sz w:val="28"/>
          <w:szCs w:val="28"/>
        </w:rPr>
        <w:t>перепланируемое</w:t>
      </w:r>
      <w:proofErr w:type="spellEnd"/>
      <w:r w:rsidR="00D427FE" w:rsidRPr="00FB1160">
        <w:rPr>
          <w:sz w:val="28"/>
          <w:szCs w:val="28"/>
        </w:rPr>
        <w:t xml:space="preserve"> помещение в многоквартирном доме, если право на него </w:t>
      </w:r>
      <w:r w:rsidR="00D427FE" w:rsidRPr="00FB1160">
        <w:rPr>
          <w:sz w:val="28"/>
          <w:szCs w:val="28"/>
        </w:rPr>
        <w:br/>
        <w:t xml:space="preserve">не зарегистрировано в Едином государственном реестре недвижимости; </w:t>
      </w:r>
    </w:p>
    <w:p w:rsidR="005F4A73" w:rsidRPr="00FB1160" w:rsidRDefault="00587C41" w:rsidP="005F4A73">
      <w:pPr>
        <w:ind w:firstLine="540"/>
        <w:jc w:val="both"/>
        <w:rPr>
          <w:sz w:val="28"/>
          <w:szCs w:val="28"/>
        </w:rPr>
      </w:pPr>
      <w:r w:rsidRPr="00FB1160">
        <w:rPr>
          <w:sz w:val="28"/>
          <w:szCs w:val="28"/>
        </w:rPr>
        <w:t>4</w:t>
      </w:r>
      <w:r w:rsidR="00BE4DC5" w:rsidRPr="00FB1160">
        <w:rPr>
          <w:sz w:val="28"/>
          <w:szCs w:val="28"/>
        </w:rPr>
        <w:t xml:space="preserve">) </w:t>
      </w:r>
      <w:r w:rsidR="005F4A73" w:rsidRPr="00FB1160">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FB1160">
        <w:rPr>
          <w:sz w:val="28"/>
          <w:szCs w:val="28"/>
        </w:rPr>
        <w:t>перепланируемого</w:t>
      </w:r>
      <w:proofErr w:type="spellEnd"/>
      <w:r w:rsidR="005F4A73" w:rsidRPr="00FB1160">
        <w:rPr>
          <w:sz w:val="28"/>
          <w:szCs w:val="28"/>
        </w:rPr>
        <w:t xml:space="preserve"> помещения в многоквартирном доме;</w:t>
      </w:r>
    </w:p>
    <w:p w:rsidR="0038355E" w:rsidRPr="00FB1160" w:rsidRDefault="00587C41" w:rsidP="0038355E">
      <w:pPr>
        <w:autoSpaceDE w:val="0"/>
        <w:autoSpaceDN w:val="0"/>
        <w:adjustRightInd w:val="0"/>
        <w:ind w:firstLine="709"/>
        <w:jc w:val="both"/>
        <w:rPr>
          <w:sz w:val="28"/>
          <w:szCs w:val="28"/>
        </w:rPr>
      </w:pPr>
      <w:bookmarkStart w:id="6" w:name="Par6"/>
      <w:bookmarkEnd w:id="6"/>
      <w:r w:rsidRPr="00FB1160">
        <w:rPr>
          <w:sz w:val="28"/>
          <w:szCs w:val="28"/>
        </w:rPr>
        <w:t>5</w:t>
      </w:r>
      <w:r w:rsidR="0038355E" w:rsidRPr="00FB1160">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sidRPr="00FB1160">
        <w:rPr>
          <w:sz w:val="28"/>
          <w:szCs w:val="28"/>
        </w:rPr>
        <w:t>6</w:t>
      </w:r>
      <w:r w:rsidR="0038355E" w:rsidRPr="00FB1160">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FB1160">
        <w:rPr>
          <w:sz w:val="28"/>
          <w:szCs w:val="28"/>
        </w:rPr>
        <w:t>перепланируемое</w:t>
      </w:r>
      <w:proofErr w:type="spellEnd"/>
      <w:r w:rsidR="0038355E" w:rsidRPr="00FB1160">
        <w:rPr>
          <w:sz w:val="28"/>
          <w:szCs w:val="28"/>
        </w:rPr>
        <w:t xml:space="preserve"> жилое помещение на основании договора социального найма</w:t>
      </w:r>
      <w:r w:rsidR="00A7244E" w:rsidRPr="00FB1160">
        <w:rPr>
          <w:sz w:val="28"/>
          <w:szCs w:val="28"/>
        </w:rPr>
        <w:t xml:space="preserve"> по </w:t>
      </w:r>
      <w:hyperlink r:id="rId10" w:history="1">
        <w:r w:rsidR="00A7244E" w:rsidRPr="00FB1160">
          <w:rPr>
            <w:sz w:val="28"/>
            <w:szCs w:val="28"/>
          </w:rPr>
          <w:t>форме</w:t>
        </w:r>
      </w:hyperlink>
      <w:r w:rsidR="00A7244E" w:rsidRPr="00FB1160">
        <w:rPr>
          <w:sz w:val="28"/>
          <w:szCs w:val="28"/>
        </w:rPr>
        <w:t xml:space="preserve"> согласно Приложению 4 к настоящему административному регламенту</w:t>
      </w:r>
      <w:r w:rsidR="0038355E" w:rsidRPr="00FB1160">
        <w:rPr>
          <w:sz w:val="28"/>
          <w:szCs w:val="28"/>
        </w:rPr>
        <w:t xml:space="preserve"> (в</w:t>
      </w:r>
      <w:r w:rsidR="0038355E" w:rsidRPr="005F4A73">
        <w:rPr>
          <w:sz w:val="28"/>
          <w:szCs w:val="28"/>
        </w:rPr>
        <w:t xml:space="preserve"> случае, если заявителем является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587C41">
        <w:rPr>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FB1160">
        <w:rPr>
          <w:sz w:val="28"/>
          <w:szCs w:val="28"/>
        </w:rPr>
        <w:t xml:space="preserve">1) </w:t>
      </w:r>
      <w:r w:rsidR="00D427FE" w:rsidRPr="00FB1160">
        <w:rPr>
          <w:sz w:val="28"/>
          <w:szCs w:val="28"/>
        </w:rPr>
        <w:t xml:space="preserve">правоустанавливающие документы на переустраиваемое и (или) </w:t>
      </w:r>
      <w:proofErr w:type="spellStart"/>
      <w:r w:rsidR="00D427FE" w:rsidRPr="00FB1160">
        <w:rPr>
          <w:sz w:val="28"/>
          <w:szCs w:val="28"/>
        </w:rPr>
        <w:t>перепланируемое</w:t>
      </w:r>
      <w:proofErr w:type="spellEnd"/>
      <w:r w:rsidR="00D427FE" w:rsidRPr="00FB1160">
        <w:rPr>
          <w:sz w:val="28"/>
          <w:szCs w:val="28"/>
        </w:rPr>
        <w:t xml:space="preserve"> помещение в многоквартирном доме</w:t>
      </w:r>
      <w:r w:rsidRPr="00FB1160">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r>
      <w:r w:rsidRPr="007C02D9">
        <w:rPr>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FB116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lastRenderedPageBreak/>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lastRenderedPageBreak/>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7C02D9">
        <w:rPr>
          <w:sz w:val="28"/>
          <w:szCs w:val="28"/>
        </w:rPr>
        <w:lastRenderedPageBreak/>
        <w:t xml:space="preserve">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 xml:space="preserve">2.15.4. После получения результата услуги, предоставление которой </w:t>
      </w:r>
      <w:r w:rsidRPr="007C02D9">
        <w:rPr>
          <w:sz w:val="28"/>
          <w:szCs w:val="28"/>
        </w:rPr>
        <w:lastRenderedPageBreak/>
        <w:t>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FB1160" w:rsidRDefault="00A05975" w:rsidP="00A05975">
      <w:pPr>
        <w:widowControl w:val="0"/>
        <w:tabs>
          <w:tab w:val="left" w:pos="142"/>
          <w:tab w:val="left" w:pos="284"/>
        </w:tabs>
        <w:autoSpaceDE w:val="0"/>
        <w:autoSpaceDN w:val="0"/>
        <w:adjustRightInd w:val="0"/>
        <w:ind w:firstLine="709"/>
        <w:jc w:val="both"/>
        <w:rPr>
          <w:sz w:val="28"/>
          <w:szCs w:val="28"/>
        </w:rPr>
      </w:pPr>
      <w:r w:rsidRPr="00FB1160">
        <w:rPr>
          <w:sz w:val="28"/>
          <w:szCs w:val="28"/>
        </w:rPr>
        <w:t>Услуги, которые являются необходимыми и обязательными для предоставления муниципальной услуги:</w:t>
      </w:r>
    </w:p>
    <w:p w:rsidR="00A05975" w:rsidRPr="00FB1160"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FB1160">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B1160">
        <w:rPr>
          <w:rFonts w:ascii="Times New Roman" w:hAnsi="Times New Roman"/>
          <w:sz w:val="28"/>
          <w:szCs w:val="28"/>
        </w:rPr>
        <w:t>перепланируемого</w:t>
      </w:r>
      <w:proofErr w:type="spellEnd"/>
      <w:r w:rsidRPr="00FB1160">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B1160">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lastRenderedPageBreak/>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FB1160">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w:t>
      </w:r>
      <w:r w:rsidR="00936287" w:rsidRPr="008F093C">
        <w:rPr>
          <w:sz w:val="28"/>
          <w:szCs w:val="28"/>
        </w:rPr>
        <w:lastRenderedPageBreak/>
        <w:t xml:space="preserve">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lastRenderedPageBreak/>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 xml:space="preserve">3.2.3. </w:t>
      </w:r>
      <w:r w:rsidRPr="00FB1160">
        <w:rPr>
          <w:sz w:val="28"/>
          <w:szCs w:val="28"/>
        </w:rPr>
        <w:t>Муниципальная услуга может быть получе</w:t>
      </w:r>
      <w:r w:rsidR="00AA2F0A" w:rsidRPr="00FB1160">
        <w:rPr>
          <w:sz w:val="28"/>
          <w:szCs w:val="28"/>
        </w:rPr>
        <w:t>на через ПГУ ЛО либо через 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F63FC">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w:t>
      </w:r>
      <w:r w:rsidR="00887D11" w:rsidRPr="00B17986">
        <w:rPr>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111EA">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w:t>
      </w:r>
      <w:r w:rsidRPr="00B17986">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w:t>
      </w:r>
      <w:r w:rsidRPr="00B17986">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а) удостоверяет личность заявителя или личность и полномочия законного </w:t>
      </w:r>
      <w:r w:rsidRPr="00B17986">
        <w:rPr>
          <w:rFonts w:eastAsiaTheme="minorHAnsi"/>
          <w:sz w:val="28"/>
          <w:szCs w:val="28"/>
          <w:lang w:eastAsia="en-US"/>
        </w:rPr>
        <w:lastRenderedPageBreak/>
        <w:t>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FB1160">
        <w:rPr>
          <w:rFonts w:eastAsiaTheme="minorHAnsi"/>
          <w:sz w:val="28"/>
          <w:szCs w:val="28"/>
          <w:lang w:eastAsia="en-US"/>
        </w:rPr>
        <w:t xml:space="preserve">обращения за </w:t>
      </w:r>
      <w:r w:rsidR="006B61A8" w:rsidRPr="00FB1160">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xml:space="preserve">), а также о возможности получения документов в ГБУ ЛО </w:t>
      </w:r>
      <w:r w:rsidRPr="00B17986">
        <w:rPr>
          <w:sz w:val="28"/>
          <w:szCs w:val="28"/>
        </w:rPr>
        <w:lastRenderedPageBreak/>
        <w:t>«МФЦ».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86" w:rsidRDefault="00AA0D86">
      <w:r>
        <w:separator/>
      </w:r>
    </w:p>
  </w:endnote>
  <w:endnote w:type="continuationSeparator" w:id="0">
    <w:p w:rsidR="00AA0D86" w:rsidRDefault="00AA0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86" w:rsidRDefault="00AA0D86">
      <w:r>
        <w:separator/>
      </w:r>
    </w:p>
  </w:footnote>
  <w:footnote w:type="continuationSeparator" w:id="0">
    <w:p w:rsidR="00AA0D86" w:rsidRDefault="00AA0D86">
      <w:r>
        <w:continuationSeparator/>
      </w:r>
    </w:p>
  </w:footnote>
  <w:footnote w:id="1">
    <w:p w:rsidR="00D11392" w:rsidRDefault="00D11392"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92" w:rsidRDefault="00D1139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11392" w:rsidRDefault="00D1139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92" w:rsidRDefault="00D1139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45D8">
      <w:rPr>
        <w:rStyle w:val="a9"/>
        <w:noProof/>
      </w:rPr>
      <w:t>6</w:t>
    </w:r>
    <w:r>
      <w:rPr>
        <w:rStyle w:val="a9"/>
      </w:rPr>
      <w:fldChar w:fldCharType="end"/>
    </w:r>
  </w:p>
  <w:p w:rsidR="00D11392" w:rsidRDefault="00D1139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3"/>
  </w:num>
  <w:num w:numId="3">
    <w:abstractNumId w:val="27"/>
  </w:num>
  <w:num w:numId="4">
    <w:abstractNumId w:val="10"/>
  </w:num>
  <w:num w:numId="5">
    <w:abstractNumId w:val="11"/>
  </w:num>
  <w:num w:numId="6">
    <w:abstractNumId w:val="39"/>
  </w:num>
  <w:num w:numId="7">
    <w:abstractNumId w:val="20"/>
  </w:num>
  <w:num w:numId="8">
    <w:abstractNumId w:val="24"/>
  </w:num>
  <w:num w:numId="9">
    <w:abstractNumId w:val="36"/>
  </w:num>
  <w:num w:numId="10">
    <w:abstractNumId w:val="37"/>
  </w:num>
  <w:num w:numId="11">
    <w:abstractNumId w:val="17"/>
  </w:num>
  <w:num w:numId="12">
    <w:abstractNumId w:val="29"/>
  </w:num>
  <w:num w:numId="13">
    <w:abstractNumId w:val="32"/>
  </w:num>
  <w:num w:numId="14">
    <w:abstractNumId w:val="1"/>
  </w:num>
  <w:num w:numId="15">
    <w:abstractNumId w:val="25"/>
  </w:num>
  <w:num w:numId="16">
    <w:abstractNumId w:val="34"/>
  </w:num>
  <w:num w:numId="17">
    <w:abstractNumId w:val="31"/>
  </w:num>
  <w:num w:numId="18">
    <w:abstractNumId w:val="22"/>
  </w:num>
  <w:num w:numId="19">
    <w:abstractNumId w:val="12"/>
  </w:num>
  <w:num w:numId="20">
    <w:abstractNumId w:val="19"/>
  </w:num>
  <w:num w:numId="2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3"/>
  </w:num>
  <w:num w:numId="24">
    <w:abstractNumId w:val="30"/>
  </w:num>
  <w:num w:numId="25">
    <w:abstractNumId w:val="33"/>
  </w:num>
  <w:num w:numId="26">
    <w:abstractNumId w:val="14"/>
  </w:num>
  <w:num w:numId="27">
    <w:abstractNumId w:val="6"/>
  </w:num>
  <w:num w:numId="28">
    <w:abstractNumId w:val="5"/>
  </w:num>
  <w:num w:numId="29">
    <w:abstractNumId w:val="38"/>
  </w:num>
  <w:num w:numId="30">
    <w:abstractNumId w:val="21"/>
  </w:num>
  <w:num w:numId="31">
    <w:abstractNumId w:val="35"/>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
  </w:num>
  <w:num w:numId="36">
    <w:abstractNumId w:val="7"/>
  </w:num>
  <w:num w:numId="37">
    <w:abstractNumId w:val="9"/>
  </w:num>
  <w:num w:numId="38">
    <w:abstractNumId w:val="26"/>
  </w:num>
  <w:num w:numId="39">
    <w:abstractNumId w:val="16"/>
  </w:num>
  <w:num w:numId="40">
    <w:abstractNumId w:val="8"/>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378A4"/>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A2192"/>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D71BF"/>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A5C65"/>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5BE9"/>
    <w:rsid w:val="00A56A09"/>
    <w:rsid w:val="00A615D5"/>
    <w:rsid w:val="00A624D5"/>
    <w:rsid w:val="00A64205"/>
    <w:rsid w:val="00A65C0C"/>
    <w:rsid w:val="00A6761B"/>
    <w:rsid w:val="00A6768E"/>
    <w:rsid w:val="00A7244E"/>
    <w:rsid w:val="00A72D20"/>
    <w:rsid w:val="00A803F7"/>
    <w:rsid w:val="00A848B2"/>
    <w:rsid w:val="00A91862"/>
    <w:rsid w:val="00A945D8"/>
    <w:rsid w:val="00A94BE8"/>
    <w:rsid w:val="00A9684E"/>
    <w:rsid w:val="00A96DE2"/>
    <w:rsid w:val="00AA0D86"/>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1392"/>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3ED3"/>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1160"/>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paragraph" w:customStyle="1" w:styleId="21">
    <w:name w:val="Основной текст с отступом 21"/>
    <w:basedOn w:val="a"/>
    <w:rsid w:val="00FB1160"/>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8F58-194D-414F-9708-0F15DDC3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70834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user1</cp:lastModifiedBy>
  <cp:revision>5</cp:revision>
  <cp:lastPrinted>2022-10-13T11:38:00Z</cp:lastPrinted>
  <dcterms:created xsi:type="dcterms:W3CDTF">2022-10-12T08:26:00Z</dcterms:created>
  <dcterms:modified xsi:type="dcterms:W3CDTF">2022-10-13T12:25:00Z</dcterms:modified>
</cp:coreProperties>
</file>